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9" w:lineRule="auto"/>
        <w:jc w:val="center"/>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INSTRUCCIONES PARA LA PRESENTACIÓN DE LA DEMANDA DE AMPARO EN CONTRA DE LA LEY DE AGUAS NACIONALES</w:t>
      </w:r>
    </w:p>
    <w:p w:rsidR="00000000" w:rsidDel="00000000" w:rsidP="00000000" w:rsidRDefault="00000000" w:rsidRPr="00000000" w14:paraId="00000002">
      <w:pPr>
        <w:spacing w:after="160" w:line="27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3">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Este amparo lo pueden solicitar los titulares de títulos o concesiones o de cualquier otro derecho reconocido por la Ley de Aguas Nacionales.</w:t>
      </w:r>
    </w:p>
    <w:p w:rsidR="00000000" w:rsidDel="00000000" w:rsidP="00000000" w:rsidRDefault="00000000" w:rsidRPr="00000000" w14:paraId="00000004">
      <w:pPr>
        <w:numPr>
          <w:ilvl w:val="0"/>
          <w:numId w:val="8"/>
        </w:numPr>
        <w:spacing w:line="279" w:lineRule="auto"/>
        <w:ind w:left="720" w:hanging="360"/>
        <w:jc w:val="both"/>
        <w:rPr>
          <w:rFonts w:ascii="Aptos" w:cs="Aptos" w:eastAsia="Aptos" w:hAnsi="Aptos"/>
          <w:sz w:val="24"/>
          <w:szCs w:val="24"/>
          <w:u w:val="none"/>
        </w:rPr>
      </w:pPr>
      <w:r w:rsidDel="00000000" w:rsidR="00000000" w:rsidRPr="00000000">
        <w:rPr>
          <w:rFonts w:ascii="Aptos" w:cs="Aptos" w:eastAsia="Aptos" w:hAnsi="Aptos"/>
          <w:sz w:val="24"/>
          <w:szCs w:val="24"/>
          <w:rtl w:val="0"/>
        </w:rPr>
        <w:t xml:space="preserve">SOLO DEBE MODIFICAR LAS PARTES SEÑALADAS EN AMARILLO.</w:t>
      </w:r>
    </w:p>
    <w:p w:rsidR="00000000" w:rsidDel="00000000" w:rsidP="00000000" w:rsidRDefault="00000000" w:rsidRPr="00000000" w14:paraId="00000005">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6">
      <w:pPr>
        <w:spacing w:line="279" w:lineRule="auto"/>
        <w:ind w:left="720" w:firstLine="0"/>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En la primera página de la demanda se deberá tomar en cuenta lo siguiente: </w:t>
      </w:r>
    </w:p>
    <w:p w:rsidR="00000000" w:rsidDel="00000000" w:rsidP="00000000" w:rsidRDefault="00000000" w:rsidRPr="00000000" w14:paraId="00000007">
      <w:pPr>
        <w:spacing w:line="279" w:lineRule="auto"/>
        <w:ind w:left="720" w:firstLine="0"/>
        <w:jc w:val="both"/>
        <w:rPr>
          <w:rFonts w:ascii="Aptos" w:cs="Aptos" w:eastAsia="Aptos" w:hAnsi="Aptos"/>
          <w:b w:val="1"/>
          <w:bCs w:val="1"/>
          <w:sz w:val="24"/>
          <w:szCs w:val="24"/>
        </w:rPr>
      </w:pPr>
      <w:r w:rsidDel="00000000" w:rsidR="00000000" w:rsidRPr="00000000">
        <w:rPr>
          <w:rtl w:val="0"/>
        </w:rPr>
      </w:r>
    </w:p>
    <w:p w:rsidR="00000000" w:rsidDel="00000000" w:rsidP="00000000" w:rsidRDefault="00000000" w:rsidRPr="00000000" w14:paraId="00000008">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el nombre completo de quien promueve la demanda.  </w:t>
      </w:r>
    </w:p>
    <w:p w:rsidR="00000000" w:rsidDel="00000000" w:rsidP="00000000" w:rsidRDefault="00000000" w:rsidRPr="00000000" w14:paraId="00000009">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A">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domicilio y correo electrónico para oír y recibir notificaciones.</w:t>
      </w:r>
    </w:p>
    <w:p w:rsidR="00000000" w:rsidDel="00000000" w:rsidP="00000000" w:rsidRDefault="00000000" w:rsidRPr="00000000" w14:paraId="0000000B">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C">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Si se cuenta con el apoyo de abogados, se deberá incluir el nombre de estos y su número de cédulas profesionales, así como el de aquellas personas que usted desee que tengan acceso al expediente. </w:t>
      </w:r>
    </w:p>
    <w:p w:rsidR="00000000" w:rsidDel="00000000" w:rsidP="00000000" w:rsidRDefault="00000000" w:rsidRPr="00000000" w14:paraId="0000000D">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E">
      <w:pPr>
        <w:spacing w:line="279" w:lineRule="auto"/>
        <w:ind w:left="720" w:firstLine="0"/>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En la penúltima página, relativa a las pruebas:</w:t>
      </w:r>
    </w:p>
    <w:p w:rsidR="00000000" w:rsidDel="00000000" w:rsidP="00000000" w:rsidRDefault="00000000" w:rsidRPr="00000000" w14:paraId="0000000F">
      <w:pPr>
        <w:spacing w:line="279" w:lineRule="auto"/>
        <w:ind w:left="72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10">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Agregar copia del INE. </w:t>
      </w:r>
    </w:p>
    <w:p w:rsidR="00000000" w:rsidDel="00000000" w:rsidP="00000000" w:rsidRDefault="00000000" w:rsidRPr="00000000" w14:paraId="00000011">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2">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Señalar en el punto ii de este apartado si se cuenta con título de concesión o asignación o cualquier otro documento a través del cual se acredite que se es titular del algún derecho hídrico, y en su caso, agregarlo a la demanda en original o copia certificada.</w:t>
      </w:r>
    </w:p>
    <w:p w:rsidR="00000000" w:rsidDel="00000000" w:rsidP="00000000" w:rsidRDefault="00000000" w:rsidRPr="00000000" w14:paraId="00000013">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4">
      <w:pPr>
        <w:numPr>
          <w:ilvl w:val="0"/>
          <w:numId w:val="8"/>
        </w:numPr>
        <w:spacing w:line="279" w:lineRule="auto"/>
        <w:ind w:left="720" w:hanging="360"/>
        <w:jc w:val="both"/>
        <w:rPr>
          <w:rFonts w:ascii="Aptos" w:cs="Aptos" w:eastAsia="Aptos" w:hAnsi="Aptos"/>
          <w:sz w:val="24"/>
          <w:szCs w:val="24"/>
          <w:u w:val="single"/>
        </w:rPr>
      </w:pPr>
      <w:r w:rsidDel="00000000" w:rsidR="00000000" w:rsidRPr="00000000">
        <w:rPr>
          <w:rFonts w:ascii="Aptos" w:cs="Aptos" w:eastAsia="Aptos" w:hAnsi="Aptos"/>
          <w:b w:val="1"/>
          <w:bCs w:val="1"/>
          <w:sz w:val="24"/>
          <w:szCs w:val="24"/>
          <w:u w:val="single"/>
          <w:rtl w:val="0"/>
        </w:rPr>
        <w:t xml:space="preserve">El plazo para la presentación de la demanda vence el 20 de enero de 2026.</w:t>
      </w:r>
      <w:r w:rsidDel="00000000" w:rsidR="00000000" w:rsidRPr="00000000">
        <w:rPr>
          <w:rFonts w:ascii="Aptos" w:cs="Aptos" w:eastAsia="Aptos" w:hAnsi="Aptos"/>
          <w:sz w:val="24"/>
          <w:szCs w:val="24"/>
          <w:u w:val="single"/>
          <w:rtl w:val="0"/>
        </w:rPr>
        <w:t xml:space="preserve"> </w:t>
      </w:r>
    </w:p>
    <w:p w:rsidR="00000000" w:rsidDel="00000000" w:rsidP="00000000" w:rsidRDefault="00000000" w:rsidRPr="00000000" w14:paraId="00000015">
      <w:pPr>
        <w:spacing w:line="279" w:lineRule="auto"/>
        <w:ind w:left="720" w:firstLine="0"/>
        <w:jc w:val="both"/>
        <w:rPr>
          <w:rFonts w:ascii="Aptos" w:cs="Aptos" w:eastAsia="Aptos" w:hAnsi="Aptos"/>
          <w:sz w:val="24"/>
          <w:szCs w:val="24"/>
          <w:u w:val="single"/>
        </w:rPr>
      </w:pPr>
      <w:r w:rsidDel="00000000" w:rsidR="00000000" w:rsidRPr="00000000">
        <w:rPr>
          <w:rtl w:val="0"/>
        </w:rPr>
      </w:r>
    </w:p>
    <w:p w:rsidR="00000000" w:rsidDel="00000000" w:rsidP="00000000" w:rsidRDefault="00000000" w:rsidRPr="00000000" w14:paraId="00000016">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Las demandas se pueden presentar de 9 a 15 horas de forma física en los siguientes domicilios: </w:t>
      </w:r>
    </w:p>
    <w:p w:rsidR="00000000" w:rsidDel="00000000" w:rsidP="00000000" w:rsidRDefault="00000000" w:rsidRPr="00000000" w14:paraId="00000017">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8">
      <w:pPr>
        <w:numPr>
          <w:ilvl w:val="0"/>
          <w:numId w:val="6"/>
        </w:numPr>
        <w:spacing w:line="279" w:lineRule="auto"/>
        <w:ind w:left="1080" w:hanging="360"/>
        <w:jc w:val="both"/>
        <w:rPr>
          <w:sz w:val="24"/>
          <w:szCs w:val="24"/>
        </w:rPr>
      </w:pPr>
      <w:r w:rsidDel="00000000" w:rsidR="00000000" w:rsidRPr="00000000">
        <w:rPr>
          <w:rFonts w:ascii="Aptos" w:cs="Aptos" w:eastAsia="Aptos" w:hAnsi="Aptos"/>
          <w:sz w:val="24"/>
          <w:szCs w:val="24"/>
          <w:rtl w:val="0"/>
        </w:rPr>
        <w:t xml:space="preserve">EDIFICIO SEDE DEL PODER JUDICIAL DE LA FEDERACIÓN</w:t>
        <w:br w:type="textWrapping"/>
        <w:t xml:space="preserve">AV. MIRADOR, NO. 6500, FRACCIONAMIENTO RESIDENCIAL CAMPESTRE WASHINGTON,C.P. 31213, CHIHUAHUA, CHIHUAHUA</w:t>
        <w:br w:type="textWrapping"/>
        <w:t xml:space="preserve">CONMUTADOR: (614) 180 2000. </w:t>
      </w:r>
      <w:r w:rsidDel="00000000" w:rsidR="00000000" w:rsidRPr="00000000">
        <w:rPr>
          <w:rtl w:val="0"/>
        </w:rPr>
      </w:r>
    </w:p>
    <w:p w:rsidR="00000000" w:rsidDel="00000000" w:rsidP="00000000" w:rsidRDefault="00000000" w:rsidRPr="00000000" w14:paraId="00000019">
      <w:pPr>
        <w:spacing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A">
      <w:pPr>
        <w:numPr>
          <w:ilvl w:val="0"/>
          <w:numId w:val="6"/>
        </w:numPr>
        <w:spacing w:line="279" w:lineRule="auto"/>
        <w:ind w:left="108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EDIFICIO SEDE DEL PODER JUDICIAL DE LA FEDERACION.</w:t>
        <w:br w:type="textWrapping"/>
        <w:t xml:space="preserve">AV. TECNOLOGICO NÚM. 1670, FUENTES DEL VALLE, C.P. 32500, CD. JUÁREZ, CHIHUAHUA</w:t>
        <w:br w:type="textWrapping"/>
        <w:t xml:space="preserve">CONMUTADOR: (656) 227 2600</w:t>
      </w:r>
    </w:p>
    <w:p w:rsidR="00000000" w:rsidDel="00000000" w:rsidP="00000000" w:rsidRDefault="00000000" w:rsidRPr="00000000" w14:paraId="0000001B">
      <w:pPr>
        <w:spacing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C">
      <w:pPr>
        <w:spacing w:line="279" w:lineRule="auto"/>
        <w:ind w:left="108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Escoja la oficialía más cercana a su domicilio. </w:t>
      </w:r>
    </w:p>
    <w:p w:rsidR="00000000" w:rsidDel="00000000" w:rsidP="00000000" w:rsidRDefault="00000000" w:rsidRPr="00000000" w14:paraId="0000001D">
      <w:pPr>
        <w:spacing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E">
      <w:pPr>
        <w:spacing w:line="279" w:lineRule="auto"/>
        <w:ind w:left="1080" w:firstLine="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último día para la presentación de la demanda se puede acudir a la oficialía de partes común hasta las 23:59 horas. </w:t>
      </w:r>
    </w:p>
    <w:p w:rsidR="00000000" w:rsidDel="00000000" w:rsidP="00000000" w:rsidRDefault="00000000" w:rsidRPr="00000000" w14:paraId="0000001F">
      <w:pPr>
        <w:spacing w:line="279" w:lineRule="auto"/>
        <w:ind w:left="108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0">
      <w:pPr>
        <w:numPr>
          <w:ilvl w:val="0"/>
          <w:numId w:val="6"/>
        </w:numPr>
        <w:spacing w:line="279" w:lineRule="auto"/>
        <w:ind w:left="108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el portal de internet </w:t>
      </w:r>
      <w:hyperlink r:id="rId8">
        <w:r w:rsidDel="00000000" w:rsidR="00000000" w:rsidRPr="00000000">
          <w:rPr>
            <w:rFonts w:ascii="Aptos" w:cs="Aptos" w:eastAsia="Aptos" w:hAnsi="Aptos"/>
            <w:color w:val="467886"/>
            <w:sz w:val="24"/>
            <w:szCs w:val="24"/>
            <w:u w:val="single"/>
            <w:rtl w:val="0"/>
          </w:rPr>
          <w:t xml:space="preserve">https://www.serviciosenlinea.pjf.gob.mx/juicioenlinea</w:t>
        </w:r>
      </w:hyperlink>
      <w:r w:rsidDel="00000000" w:rsidR="00000000" w:rsidRPr="00000000">
        <w:rPr>
          <w:rFonts w:ascii="Aptos" w:cs="Aptos" w:eastAsia="Aptos" w:hAnsi="Aptos"/>
          <w:sz w:val="24"/>
          <w:szCs w:val="24"/>
          <w:rtl w:val="0"/>
        </w:rPr>
        <w:t xml:space="preserve"> Se sugiere contar con la asesoría de un abogado que cuente con clave FIREL o CURP registrada para presentar demandas en línea. En este caso, la demanda firmada y los documentos que se acompañen a la misma deberán ir digitalizados. </w:t>
      </w:r>
    </w:p>
    <w:p w:rsidR="00000000" w:rsidDel="00000000" w:rsidP="00000000" w:rsidRDefault="00000000" w:rsidRPr="00000000" w14:paraId="00000021">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2">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Se podrá solicitar la devolución de aquellos documentos que se ofrezcan en original o copia certificada, una vez que sean solicitados por Usted y cotejados por el secretario de acuerdos. </w:t>
      </w:r>
    </w:p>
    <w:p w:rsidR="00000000" w:rsidDel="00000000" w:rsidP="00000000" w:rsidRDefault="00000000" w:rsidRPr="00000000" w14:paraId="00000023">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4">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el caso de que se presente la demanda de forma escrita, se deberán agregar 8 copias simples de la misma, las cuales no requieren ir firmadas. </w:t>
      </w:r>
    </w:p>
    <w:p w:rsidR="00000000" w:rsidDel="00000000" w:rsidP="00000000" w:rsidRDefault="00000000" w:rsidRPr="00000000" w14:paraId="00000025">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6">
      <w:pPr>
        <w:numPr>
          <w:ilvl w:val="0"/>
          <w:numId w:val="1"/>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para el acuse de recibo.</w:t>
      </w:r>
    </w:p>
    <w:p w:rsidR="00000000" w:rsidDel="00000000" w:rsidP="00000000" w:rsidRDefault="00000000" w:rsidRPr="00000000" w14:paraId="00000027">
      <w:pPr>
        <w:numPr>
          <w:ilvl w:val="0"/>
          <w:numId w:val="1"/>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por cada autoridad demandada, es decir, 3. </w:t>
      </w:r>
    </w:p>
    <w:p w:rsidR="00000000" w:rsidDel="00000000" w:rsidP="00000000" w:rsidRDefault="00000000" w:rsidRPr="00000000" w14:paraId="00000028">
      <w:pPr>
        <w:numPr>
          <w:ilvl w:val="0"/>
          <w:numId w:val="1"/>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para el Ministerio Público. </w:t>
      </w:r>
    </w:p>
    <w:p w:rsidR="00000000" w:rsidDel="00000000" w:rsidP="00000000" w:rsidRDefault="00000000" w:rsidRPr="00000000" w14:paraId="00000029">
      <w:pPr>
        <w:numPr>
          <w:ilvl w:val="0"/>
          <w:numId w:val="1"/>
        </w:numPr>
        <w:spacing w:after="16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Tres sobrantes para traslado. </w:t>
      </w:r>
    </w:p>
    <w:p w:rsidR="00000000" w:rsidDel="00000000" w:rsidP="00000000" w:rsidRDefault="00000000" w:rsidRPr="00000000" w14:paraId="0000002A">
      <w:pPr>
        <w:spacing w:after="160" w:line="279" w:lineRule="auto"/>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B">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caso de requerir de asesoría jurídica, puede acudir al Instituto Federal de Defensoría Pública ubicado en el mismo domicilio de las oficialías de partes comunes. </w:t>
      </w:r>
    </w:p>
    <w:p w:rsidR="00000000" w:rsidDel="00000000" w:rsidP="00000000" w:rsidRDefault="00000000" w:rsidRPr="00000000" w14:paraId="0000002C">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D">
      <w:pPr>
        <w:numPr>
          <w:ilvl w:val="0"/>
          <w:numId w:val="8"/>
        </w:numPr>
        <w:spacing w:line="279" w:lineRule="auto"/>
        <w:ind w:left="720" w:hanging="360"/>
        <w:jc w:val="both"/>
        <w:rPr>
          <w:rFonts w:ascii="Aptos" w:cs="Aptos" w:eastAsia="Aptos" w:hAnsi="Aptos"/>
          <w:b w:val="1"/>
          <w:bCs w:val="1"/>
          <w:sz w:val="24"/>
          <w:szCs w:val="24"/>
          <w:u w:val="single"/>
        </w:rPr>
      </w:pPr>
      <w:r w:rsidDel="00000000" w:rsidR="00000000" w:rsidRPr="00000000">
        <w:rPr>
          <w:rFonts w:ascii="Aptos" w:cs="Aptos" w:eastAsia="Aptos" w:hAnsi="Aptos"/>
          <w:b w:val="1"/>
          <w:bCs w:val="1"/>
          <w:sz w:val="24"/>
          <w:szCs w:val="24"/>
          <w:u w:val="single"/>
          <w:rtl w:val="0"/>
        </w:rPr>
        <w:t xml:space="preserve">No olvide firmar la demanda en la última página con tinta azul. </w:t>
      </w:r>
    </w:p>
    <w:p w:rsidR="00000000" w:rsidDel="00000000" w:rsidP="00000000" w:rsidRDefault="00000000" w:rsidRPr="00000000" w14:paraId="0000002E">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F">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vez presentada la demanda, revise el número de expediente, el juzgado y secretaría a que fue turnada.</w:t>
      </w:r>
    </w:p>
    <w:p w:rsidR="00000000" w:rsidDel="00000000" w:rsidP="00000000" w:rsidRDefault="00000000" w:rsidRPr="00000000" w14:paraId="00000030">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1">
      <w:pPr>
        <w:numPr>
          <w:ilvl w:val="0"/>
          <w:numId w:val="8"/>
        </w:numPr>
        <w:spacing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 cada promoción que usted presente deberá recaer un acuerdo, por lo que debe estar atento a cualquier notificación que reciba. </w:t>
      </w:r>
    </w:p>
    <w:p w:rsidR="00000000" w:rsidDel="00000000" w:rsidP="00000000" w:rsidRDefault="00000000" w:rsidRPr="00000000" w14:paraId="00000032">
      <w:pPr>
        <w:spacing w:line="279" w:lineRule="auto"/>
        <w:ind w:left="720" w:firstLine="0"/>
        <w:jc w:val="both"/>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3">
      <w:pPr>
        <w:numPr>
          <w:ilvl w:val="0"/>
          <w:numId w:val="8"/>
        </w:numPr>
        <w:spacing w:after="160" w:line="279"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personal adscrito a juzgados está para servirle. Cualquier queja en su contra deberá presentarla ante el Tribunal de Disciplina Judicial. </w:t>
      </w:r>
      <w:hyperlink r:id="rId9">
        <w:r w:rsidDel="00000000" w:rsidR="00000000" w:rsidRPr="00000000">
          <w:rPr>
            <w:rFonts w:ascii="Aptos" w:cs="Aptos" w:eastAsia="Aptos" w:hAnsi="Aptos"/>
            <w:color w:val="467886"/>
            <w:sz w:val="24"/>
            <w:szCs w:val="24"/>
            <w:u w:val="single"/>
            <w:rtl w:val="0"/>
          </w:rPr>
          <w:t xml:space="preserve">https://www.tdj.gob.mx</w:t>
        </w:r>
      </w:hyperlink>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4">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5">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6">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7">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8">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9">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A">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B">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C">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D">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E">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3F">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0">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1">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2">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3">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4">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5">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6">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7">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8">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9">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A">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B">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C">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D">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E">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4F">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0">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1">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2">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3">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4">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5">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6">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7">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8">
      <w:pPr>
        <w:tabs>
          <w:tab w:val="left" w:leader="none" w:pos="5529"/>
        </w:tabs>
        <w:spacing w:line="240" w:lineRule="auto"/>
        <w:ind w:right="562"/>
        <w:jc w:val="right"/>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AMPARO INDIRECTO </w:t>
      </w:r>
    </w:p>
    <w:p w:rsidR="00000000" w:rsidDel="00000000" w:rsidP="00000000" w:rsidRDefault="00000000" w:rsidRPr="00000000" w14:paraId="00000059">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5A">
      <w:pPr>
        <w:tabs>
          <w:tab w:val="center" w:leader="none" w:pos="4419"/>
          <w:tab w:val="right" w:leader="none" w:pos="8838"/>
        </w:tabs>
        <w:spacing w:line="240" w:lineRule="auto"/>
        <w:ind w:left="4111" w:right="562" w:firstLine="0"/>
        <w:jc w:val="both"/>
        <w:rPr>
          <w:rFonts w:ascii="Lucida Sans" w:cs="Lucida Sans" w:eastAsia="Lucida Sans" w:hAnsi="Lucida Sans"/>
          <w:b w:val="1"/>
          <w:bCs w:val="1"/>
          <w:sz w:val="24"/>
          <w:szCs w:val="24"/>
          <w:highlight w:val="yellow"/>
        </w:rPr>
      </w:pPr>
      <w:r w:rsidDel="00000000" w:rsidR="00000000" w:rsidRPr="00000000">
        <w:rPr>
          <w:rFonts w:ascii="Lucida Sans" w:cs="Lucida Sans" w:eastAsia="Lucida Sans" w:hAnsi="Lucida Sans"/>
          <w:b w:val="1"/>
          <w:bCs w:val="1"/>
          <w:sz w:val="24"/>
          <w:szCs w:val="24"/>
          <w:rtl w:val="0"/>
        </w:rPr>
        <w:t xml:space="preserve">PARTE QUEJOSA: </w:t>
      </w:r>
      <w:r w:rsidDel="00000000" w:rsidR="00000000" w:rsidRPr="00000000">
        <w:rPr>
          <w:rFonts w:ascii="Lucida Sans" w:cs="Lucida Sans" w:eastAsia="Lucida Sans" w:hAnsi="Lucida Sans"/>
          <w:b w:val="1"/>
          <w:bCs w:val="1"/>
          <w:sz w:val="24"/>
          <w:szCs w:val="24"/>
          <w:highlight w:val="yellow"/>
          <w:rtl w:val="0"/>
        </w:rPr>
        <w:t xml:space="preserve">INSERTA AQUÍ TU NOMBRE COMPLETO </w:t>
      </w:r>
    </w:p>
    <w:p w:rsidR="00000000" w:rsidDel="00000000" w:rsidP="00000000" w:rsidRDefault="00000000" w:rsidRPr="00000000" w14:paraId="0000005B">
      <w:pPr>
        <w:tabs>
          <w:tab w:val="center" w:leader="none" w:pos="4419"/>
          <w:tab w:val="right" w:leader="none" w:pos="8838"/>
        </w:tabs>
        <w:spacing w:line="240" w:lineRule="auto"/>
        <w:ind w:left="4111" w:right="-1137" w:firstLine="0"/>
        <w:jc w:val="both"/>
        <w:rPr>
          <w:rFonts w:ascii="Lucida Sans" w:cs="Lucida Sans" w:eastAsia="Lucida Sans" w:hAnsi="Lucida Sans"/>
          <w:b w:val="1"/>
          <w:bCs w:val="1"/>
          <w:sz w:val="24"/>
          <w:szCs w:val="24"/>
          <w:u w:val="single"/>
        </w:rPr>
      </w:pPr>
      <w:r w:rsidDel="00000000" w:rsidR="00000000" w:rsidRPr="00000000">
        <w:rPr>
          <w:rtl w:val="0"/>
        </w:rPr>
      </w:r>
    </w:p>
    <w:p w:rsidR="00000000" w:rsidDel="00000000" w:rsidP="00000000" w:rsidRDefault="00000000" w:rsidRPr="00000000" w14:paraId="0000005C">
      <w:pPr>
        <w:tabs>
          <w:tab w:val="left" w:leader="none" w:pos="5529"/>
        </w:tabs>
        <w:spacing w:line="240" w:lineRule="auto"/>
        <w:ind w:left="4111" w:right="-1137" w:firstLine="0"/>
        <w:jc w:val="both"/>
        <w:rPr>
          <w:rFonts w:ascii="Lucida Sans" w:cs="Lucida Sans" w:eastAsia="Lucida Sans" w:hAnsi="Lucida Sans"/>
          <w:sz w:val="24"/>
          <w:szCs w:val="24"/>
          <w:u w:val="single"/>
        </w:rPr>
      </w:pPr>
      <w:r w:rsidDel="00000000" w:rsidR="00000000" w:rsidRPr="00000000">
        <w:rPr>
          <w:rFonts w:ascii="Lucida Sans" w:cs="Lucida Sans" w:eastAsia="Lucida Sans" w:hAnsi="Lucida Sans"/>
          <w:sz w:val="24"/>
          <w:szCs w:val="24"/>
          <w:u w:val="single"/>
          <w:rtl w:val="0"/>
        </w:rPr>
        <w:t xml:space="preserve">Se promueve juicio de amparo indirecto</w:t>
      </w:r>
    </w:p>
    <w:p w:rsidR="00000000" w:rsidDel="00000000" w:rsidP="00000000" w:rsidRDefault="00000000" w:rsidRPr="00000000" w14:paraId="0000005D">
      <w:pPr>
        <w:tabs>
          <w:tab w:val="left" w:leader="none" w:pos="5529"/>
        </w:tabs>
        <w:spacing w:line="240" w:lineRule="auto"/>
        <w:ind w:left="4111" w:right="-1137" w:firstLine="0"/>
        <w:jc w:val="both"/>
        <w:rPr>
          <w:rFonts w:ascii="Lucida Sans" w:cs="Lucida Sans" w:eastAsia="Lucida Sans" w:hAnsi="Lucida Sans"/>
          <w:sz w:val="24"/>
          <w:szCs w:val="24"/>
          <w:u w:val="single"/>
        </w:rPr>
      </w:pPr>
      <w:r w:rsidDel="00000000" w:rsidR="00000000" w:rsidRPr="00000000">
        <w:rPr>
          <w:rtl w:val="0"/>
        </w:rPr>
      </w:r>
    </w:p>
    <w:p w:rsidR="00000000" w:rsidDel="00000000" w:rsidP="00000000" w:rsidRDefault="00000000" w:rsidRPr="00000000" w14:paraId="0000005E">
      <w:pPr>
        <w:tabs>
          <w:tab w:val="left" w:leader="none" w:pos="5529"/>
        </w:tabs>
        <w:spacing w:line="240" w:lineRule="auto"/>
        <w:ind w:left="4111" w:right="-1137" w:firstLine="0"/>
        <w:jc w:val="both"/>
        <w:rPr>
          <w:rFonts w:ascii="Lucida Sans" w:cs="Lucida Sans" w:eastAsia="Lucida Sans" w:hAnsi="Lucida Sans"/>
          <w:sz w:val="24"/>
          <w:szCs w:val="24"/>
          <w:u w:val="single"/>
        </w:rPr>
      </w:pPr>
      <w:r w:rsidDel="00000000" w:rsidR="00000000" w:rsidRPr="00000000">
        <w:rPr>
          <w:rtl w:val="0"/>
        </w:rPr>
      </w:r>
    </w:p>
    <w:p w:rsidR="00000000" w:rsidDel="00000000" w:rsidP="00000000" w:rsidRDefault="00000000" w:rsidRPr="00000000" w14:paraId="0000005F">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60">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JUZGADO DE DISTRITO EN MATERIA ADMINISTRATIVA, </w:t>
      </w:r>
    </w:p>
    <w:p w:rsidR="00000000" w:rsidDel="00000000" w:rsidP="00000000" w:rsidRDefault="00000000" w:rsidRPr="00000000" w14:paraId="00000061">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highlight w:val="yellow"/>
          <w:rtl w:val="0"/>
        </w:rPr>
        <w:t xml:space="preserve">EN INSERTA EL JUZGADO DE TU DOMICILIO</w:t>
      </w:r>
      <w:r w:rsidDel="00000000" w:rsidR="00000000" w:rsidRPr="00000000">
        <w:rPr>
          <w:rFonts w:ascii="Lucida Sans" w:cs="Lucida Sans" w:eastAsia="Lucida Sans" w:hAnsi="Lucida Sans"/>
          <w:b w:val="1"/>
          <w:bCs w:val="1"/>
          <w:sz w:val="24"/>
          <w:szCs w:val="24"/>
          <w:rtl w:val="0"/>
        </w:rPr>
        <w:t xml:space="preserve">, EN TURNO</w:t>
      </w:r>
    </w:p>
    <w:p w:rsidR="00000000" w:rsidDel="00000000" w:rsidP="00000000" w:rsidRDefault="00000000" w:rsidRPr="00000000" w14:paraId="00000062">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PRESENTE</w:t>
      </w:r>
    </w:p>
    <w:p w:rsidR="00000000" w:rsidDel="00000000" w:rsidP="00000000" w:rsidRDefault="00000000" w:rsidRPr="00000000" w14:paraId="00000063">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64">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b w:val="1"/>
          <w:bCs w:val="1"/>
          <w:sz w:val="24"/>
          <w:szCs w:val="24"/>
          <w:highlight w:val="yellow"/>
          <w:rtl w:val="0"/>
        </w:rPr>
        <w:t xml:space="preserve">INSERTA AQUÍ TU NOMBRE COMPLETO</w:t>
      </w:r>
      <w:r w:rsidDel="00000000" w:rsidR="00000000" w:rsidRPr="00000000">
        <w:rPr>
          <w:rFonts w:ascii="Lucida Sans" w:cs="Lucida Sans" w:eastAsia="Lucida Sans" w:hAnsi="Lucida Sans"/>
          <w:b w:val="1"/>
          <w:bCs w:val="1"/>
          <w:sz w:val="24"/>
          <w:szCs w:val="24"/>
          <w:rtl w:val="0"/>
        </w:rPr>
        <w:t xml:space="preserve">, </w:t>
      </w:r>
      <w:r w:rsidDel="00000000" w:rsidR="00000000" w:rsidRPr="00000000">
        <w:rPr>
          <w:rFonts w:ascii="Lucida Sans" w:cs="Lucida Sans" w:eastAsia="Lucida Sans" w:hAnsi="Lucida Sans"/>
          <w:sz w:val="24"/>
          <w:szCs w:val="24"/>
          <w:rtl w:val="0"/>
        </w:rPr>
        <w:t xml:space="preserve">por mi propio derecho con fundamento en los artículos 17, 103, fracción I, y 107 de la Constitución Política de los Estados Unidos Mexicanos 107, fracción II, 108 y demás aplicables de la Ley de Amparo, se acude a solicitar el </w:t>
      </w:r>
      <w:r w:rsidDel="00000000" w:rsidR="00000000" w:rsidRPr="00000000">
        <w:rPr>
          <w:rFonts w:ascii="Lucida Sans" w:cs="Lucida Sans" w:eastAsia="Lucida Sans" w:hAnsi="Lucida Sans"/>
          <w:b w:val="1"/>
          <w:bCs w:val="1"/>
          <w:sz w:val="24"/>
          <w:szCs w:val="24"/>
          <w:rtl w:val="0"/>
        </w:rPr>
        <w:t xml:space="preserve">AMPARO Y PROTECCIÓN DE LA JUSTICIA DE LA UNIÓN</w:t>
      </w:r>
      <w:r w:rsidDel="00000000" w:rsidR="00000000" w:rsidRPr="00000000">
        <w:rPr>
          <w:rFonts w:ascii="Lucida Sans" w:cs="Lucida Sans" w:eastAsia="Lucida Sans" w:hAnsi="Lucida Sans"/>
          <w:sz w:val="24"/>
          <w:szCs w:val="24"/>
          <w:rtl w:val="0"/>
        </w:rPr>
        <w:t xml:space="preserve"> en contra de los actos que más adelante se señalan.</w:t>
      </w:r>
    </w:p>
    <w:p w:rsidR="00000000" w:rsidDel="00000000" w:rsidP="00000000" w:rsidRDefault="00000000" w:rsidRPr="00000000" w14:paraId="00000065">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66">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Se señala como domicilio para oír y recibir toda clase de notificaciones el ubicado en </w:t>
      </w:r>
      <w:r w:rsidDel="00000000" w:rsidR="00000000" w:rsidRPr="00000000">
        <w:rPr>
          <w:rFonts w:ascii="Lucida Sans" w:cs="Lucida Sans" w:eastAsia="Lucida Sans" w:hAnsi="Lucida Sans"/>
          <w:b w:val="1"/>
          <w:bCs w:val="1"/>
          <w:sz w:val="24"/>
          <w:szCs w:val="24"/>
          <w:highlight w:val="yellow"/>
          <w:rtl w:val="0"/>
        </w:rPr>
        <w:t xml:space="preserve">INSERTA AQUÍ TU DOMICILIO COMPLETO</w:t>
      </w:r>
      <w:r w:rsidDel="00000000" w:rsidR="00000000" w:rsidRPr="00000000">
        <w:rPr>
          <w:rFonts w:ascii="Lucida Sans" w:cs="Lucida Sans" w:eastAsia="Lucida Sans" w:hAnsi="Lucida Sans"/>
          <w:sz w:val="24"/>
          <w:szCs w:val="24"/>
          <w:rtl w:val="0"/>
        </w:rPr>
        <w:t xml:space="preserve">, igualmente señalo el correo electrónico </w:t>
      </w:r>
      <w:r w:rsidDel="00000000" w:rsidR="00000000" w:rsidRPr="00000000">
        <w:rPr>
          <w:rFonts w:ascii="Lucida Sans" w:cs="Lucida Sans" w:eastAsia="Lucida Sans" w:hAnsi="Lucida Sans"/>
          <w:b w:val="1"/>
          <w:bCs w:val="1"/>
          <w:sz w:val="24"/>
          <w:szCs w:val="24"/>
          <w:highlight w:val="yellow"/>
          <w:rtl w:val="0"/>
        </w:rPr>
        <w:t xml:space="preserve">INSERTA AQUÍ UN CORREO ELECTRÓNICO</w:t>
      </w:r>
      <w:r w:rsidDel="00000000" w:rsidR="00000000" w:rsidRPr="00000000">
        <w:rPr>
          <w:rFonts w:ascii="Lucida Sans" w:cs="Lucida Sans" w:eastAsia="Lucida Sans" w:hAnsi="Lucida Sans"/>
          <w:sz w:val="24"/>
          <w:szCs w:val="24"/>
          <w:rtl w:val="0"/>
        </w:rPr>
        <w:t xml:space="preserve"> como medio de contacto para establecer comunicaciones no procesales.</w:t>
      </w:r>
    </w:p>
    <w:p w:rsidR="00000000" w:rsidDel="00000000" w:rsidP="00000000" w:rsidRDefault="00000000" w:rsidRPr="00000000" w14:paraId="00000067">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68">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De igual manera, se autoriza en términos amplios del artículo 12 de la Ley de Amparo, a las y los licenciados en derecho </w:t>
      </w:r>
      <w:r w:rsidDel="00000000" w:rsidR="00000000" w:rsidRPr="00000000">
        <w:rPr>
          <w:rFonts w:ascii="Lucida Sans" w:cs="Lucida Sans" w:eastAsia="Lucida Sans" w:hAnsi="Lucida Sans"/>
          <w:b w:val="1"/>
          <w:bCs w:val="1"/>
          <w:sz w:val="24"/>
          <w:szCs w:val="24"/>
          <w:highlight w:val="yellow"/>
          <w:rtl w:val="0"/>
        </w:rPr>
        <w:t xml:space="preserve">INSERTA EL NOMBRE (DE TENER A SU ALCANCE) A UN LICENCIADO O LICENCIADA EN DERECHO</w:t>
      </w:r>
      <w:r w:rsidDel="00000000" w:rsidR="00000000" w:rsidRPr="00000000">
        <w:rPr>
          <w:rFonts w:ascii="Lucida Sans" w:cs="Lucida Sans" w:eastAsia="Lucida Sans" w:hAnsi="Lucida Sans"/>
          <w:sz w:val="24"/>
          <w:szCs w:val="24"/>
          <w:rtl w:val="0"/>
        </w:rPr>
        <w:t xml:space="preserve">; y en términos de la parte final del artículo 12, así como del segundo párrafo del artículo 24, ambos de la Ley de Amparo a </w:t>
      </w:r>
      <w:r w:rsidDel="00000000" w:rsidR="00000000" w:rsidRPr="00000000">
        <w:rPr>
          <w:rFonts w:ascii="Lucida Sans" w:cs="Lucida Sans" w:eastAsia="Lucida Sans" w:hAnsi="Lucida Sans"/>
          <w:b w:val="1"/>
          <w:bCs w:val="1"/>
          <w:sz w:val="24"/>
          <w:szCs w:val="24"/>
          <w:highlight w:val="yellow"/>
          <w:rtl w:val="0"/>
        </w:rPr>
        <w:t xml:space="preserve">INSERTE EL NOMBRE DE LAS PERSONAS QUE PUEDEN ACCEDER AL EXPEDIENTE PARA HACER DIVERSAS DILIGENCIAS SIN TENER EL TÍTULO DE LICENCIADO EN DERECHO O  ABOGADO. </w:t>
      </w:r>
      <w:r w:rsidDel="00000000" w:rsidR="00000000" w:rsidRPr="00000000">
        <w:rPr>
          <w:rtl w:val="0"/>
        </w:rPr>
      </w:r>
    </w:p>
    <w:p w:rsidR="00000000" w:rsidDel="00000000" w:rsidP="00000000" w:rsidRDefault="00000000" w:rsidRPr="00000000" w14:paraId="00000069">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6A">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Precisado lo anterior a continuación, se colman los requisitos que exige el artículo 108 de la Ley de Amparo:</w:t>
      </w:r>
    </w:p>
    <w:p w:rsidR="00000000" w:rsidDel="00000000" w:rsidP="00000000" w:rsidRDefault="00000000" w:rsidRPr="00000000" w14:paraId="0000006B">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6C">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I. NOMBRE Y DOMICILIO DE LA QUEJOSA: </w:t>
      </w:r>
    </w:p>
    <w:p w:rsidR="00000000" w:rsidDel="00000000" w:rsidP="00000000" w:rsidRDefault="00000000" w:rsidRPr="00000000" w14:paraId="0000006D">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6E">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b w:val="1"/>
          <w:bCs w:val="1"/>
          <w:sz w:val="24"/>
          <w:szCs w:val="24"/>
          <w:highlight w:val="yellow"/>
          <w:rtl w:val="0"/>
        </w:rPr>
        <w:t xml:space="preserve">INSERTA AQUÍ TU NOMBRE COMPLETO</w:t>
      </w:r>
      <w:r w:rsidDel="00000000" w:rsidR="00000000" w:rsidRPr="00000000">
        <w:rPr>
          <w:rFonts w:ascii="Lucida Sans" w:cs="Lucida Sans" w:eastAsia="Lucida Sans" w:hAnsi="Lucida Sans"/>
          <w:b w:val="1"/>
          <w:bCs w:val="1"/>
          <w:sz w:val="24"/>
          <w:szCs w:val="24"/>
          <w:rtl w:val="0"/>
        </w:rPr>
        <w:t xml:space="preserve">, </w:t>
      </w:r>
      <w:r w:rsidDel="00000000" w:rsidR="00000000" w:rsidRPr="00000000">
        <w:rPr>
          <w:rFonts w:ascii="Lucida Sans" w:cs="Lucida Sans" w:eastAsia="Lucida Sans" w:hAnsi="Lucida Sans"/>
          <w:sz w:val="24"/>
          <w:szCs w:val="24"/>
          <w:rtl w:val="0"/>
        </w:rPr>
        <w:t xml:space="preserve">por mi propio derecho. </w:t>
      </w:r>
    </w:p>
    <w:p w:rsidR="00000000" w:rsidDel="00000000" w:rsidP="00000000" w:rsidRDefault="00000000" w:rsidRPr="00000000" w14:paraId="0000006F">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70">
      <w:pPr>
        <w:tabs>
          <w:tab w:val="left" w:leader="none" w:pos="5529"/>
        </w:tabs>
        <w:spacing w:line="240" w:lineRule="auto"/>
        <w:ind w:right="562"/>
        <w:jc w:val="both"/>
        <w:rPr>
          <w:rFonts w:ascii="Lucida Sans" w:cs="Lucida Sans" w:eastAsia="Lucida Sans" w:hAnsi="Lucida Sans"/>
          <w:sz w:val="24"/>
          <w:szCs w:val="24"/>
          <w:highlight w:val="yellow"/>
        </w:rPr>
      </w:pPr>
      <w:r w:rsidDel="00000000" w:rsidR="00000000" w:rsidRPr="00000000">
        <w:rPr>
          <w:rFonts w:ascii="Lucida Sans" w:cs="Lucida Sans" w:eastAsia="Lucida Sans" w:hAnsi="Lucida Sans"/>
          <w:b w:val="1"/>
          <w:bCs w:val="1"/>
          <w:sz w:val="24"/>
          <w:szCs w:val="24"/>
          <w:highlight w:val="yellow"/>
          <w:rtl w:val="0"/>
        </w:rPr>
        <w:t xml:space="preserve">INSERTA AQUÍ TU DOMICILIO COMPLETO: (debe ser de la Chihuahua, Chihuahua).</w:t>
      </w:r>
      <w:r w:rsidDel="00000000" w:rsidR="00000000" w:rsidRPr="00000000">
        <w:rPr>
          <w:rtl w:val="0"/>
        </w:rPr>
      </w:r>
    </w:p>
    <w:p w:rsidR="00000000" w:rsidDel="00000000" w:rsidP="00000000" w:rsidRDefault="00000000" w:rsidRPr="00000000" w14:paraId="00000071">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72">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II. NOMBRE Y DOMICILIO DEL TERCERO INTERESADO: </w:t>
      </w:r>
    </w:p>
    <w:p w:rsidR="00000000" w:rsidDel="00000000" w:rsidP="00000000" w:rsidRDefault="00000000" w:rsidRPr="00000000" w14:paraId="00000073">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74">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sz w:val="24"/>
          <w:szCs w:val="24"/>
          <w:rtl w:val="0"/>
        </w:rPr>
        <w:t xml:space="preserve">Bajo formal protesta de decir verdad la quejosa manifiesta que desconocen la existencia de persona alguna que se ubique dentro de los supuestos del artículo 5°, fracción III, de la Ley de Amparo.</w:t>
      </w:r>
      <w:r w:rsidDel="00000000" w:rsidR="00000000" w:rsidRPr="00000000">
        <w:rPr>
          <w:rtl w:val="0"/>
        </w:rPr>
      </w:r>
    </w:p>
    <w:p w:rsidR="00000000" w:rsidDel="00000000" w:rsidP="00000000" w:rsidRDefault="00000000" w:rsidRPr="00000000" w14:paraId="00000075">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76">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III. AUTORIDADES RESPONSABLES:</w:t>
      </w:r>
    </w:p>
    <w:p w:rsidR="00000000" w:rsidDel="00000000" w:rsidP="00000000" w:rsidRDefault="00000000" w:rsidRPr="00000000" w14:paraId="00000077">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78">
      <w:pPr>
        <w:pStyle w:val="Heading1"/>
        <w:keepNext w:val="0"/>
        <w:keepLines w:val="0"/>
        <w:numPr>
          <w:ilvl w:val="0"/>
          <w:numId w:val="2"/>
        </w:numPr>
        <w:tabs>
          <w:tab w:val="left" w:leader="none" w:pos="5529"/>
        </w:tabs>
        <w:spacing w:after="0" w:before="0" w:line="240" w:lineRule="auto"/>
        <w:ind w:left="720" w:right="562" w:hanging="360"/>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highlight w:val="white"/>
          <w:rtl w:val="0"/>
        </w:rPr>
        <w:t xml:space="preserve">Cámara de Diputados del Congreso de la Unión.</w:t>
      </w:r>
      <w:r w:rsidDel="00000000" w:rsidR="00000000" w:rsidRPr="00000000">
        <w:rPr>
          <w:rtl w:val="0"/>
        </w:rPr>
      </w:r>
    </w:p>
    <w:p w:rsidR="00000000" w:rsidDel="00000000" w:rsidP="00000000" w:rsidRDefault="00000000" w:rsidRPr="00000000" w14:paraId="00000079">
      <w:pPr>
        <w:pStyle w:val="Heading1"/>
        <w:keepNext w:val="0"/>
        <w:keepLines w:val="0"/>
        <w:numPr>
          <w:ilvl w:val="0"/>
          <w:numId w:val="2"/>
        </w:numPr>
        <w:tabs>
          <w:tab w:val="left" w:leader="none" w:pos="5529"/>
        </w:tabs>
        <w:spacing w:after="0" w:before="0" w:line="240" w:lineRule="auto"/>
        <w:ind w:left="720" w:right="562" w:hanging="360"/>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highlight w:val="white"/>
          <w:rtl w:val="0"/>
        </w:rPr>
        <w:t xml:space="preserve">Cámara de Senadores del Congreso de la Unión.</w:t>
      </w:r>
      <w:r w:rsidDel="00000000" w:rsidR="00000000" w:rsidRPr="00000000">
        <w:rPr>
          <w:rtl w:val="0"/>
        </w:rPr>
      </w:r>
    </w:p>
    <w:p w:rsidR="00000000" w:rsidDel="00000000" w:rsidP="00000000" w:rsidRDefault="00000000" w:rsidRPr="00000000" w14:paraId="0000007A">
      <w:pPr>
        <w:pStyle w:val="Heading1"/>
        <w:keepNext w:val="0"/>
        <w:keepLines w:val="0"/>
        <w:numPr>
          <w:ilvl w:val="0"/>
          <w:numId w:val="2"/>
        </w:numPr>
        <w:tabs>
          <w:tab w:val="left" w:leader="none" w:pos="5529"/>
        </w:tabs>
        <w:spacing w:after="0" w:before="0" w:line="240" w:lineRule="auto"/>
        <w:ind w:left="720" w:right="562" w:hanging="360"/>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highlight w:val="white"/>
          <w:rtl w:val="0"/>
        </w:rPr>
        <w:t xml:space="preserve">Presidenta de </w:t>
      </w:r>
      <w:r w:rsidDel="00000000" w:rsidR="00000000" w:rsidRPr="00000000">
        <w:rPr>
          <w:rFonts w:ascii="Lucida Sans" w:cs="Lucida Sans" w:eastAsia="Lucida Sans" w:hAnsi="Lucida Sans"/>
          <w:sz w:val="24"/>
          <w:szCs w:val="24"/>
          <w:rtl w:val="0"/>
        </w:rPr>
        <w:t xml:space="preserve">los Estados Unidos Mexicanos.</w:t>
      </w:r>
    </w:p>
    <w:p w:rsidR="00000000" w:rsidDel="00000000" w:rsidP="00000000" w:rsidRDefault="00000000" w:rsidRPr="00000000" w14:paraId="0000007B">
      <w:pPr>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7C">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IV. ACTOS RECLAMADOS:</w:t>
      </w:r>
    </w:p>
    <w:p w:rsidR="00000000" w:rsidDel="00000000" w:rsidP="00000000" w:rsidRDefault="00000000" w:rsidRPr="00000000" w14:paraId="0000007D">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7E">
      <w:pPr>
        <w:numPr>
          <w:ilvl w:val="0"/>
          <w:numId w:val="9"/>
        </w:numPr>
        <w:tabs>
          <w:tab w:val="left" w:leader="none" w:pos="5529"/>
        </w:tabs>
        <w:spacing w:line="240" w:lineRule="auto"/>
        <w:ind w:left="720" w:right="562" w:hanging="360"/>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sz w:val="24"/>
          <w:szCs w:val="24"/>
          <w:rtl w:val="0"/>
        </w:rPr>
        <w:t xml:space="preserve">De la Cámara de Diputados del Congreso de la Unión</w:t>
      </w:r>
      <w:r w:rsidDel="00000000" w:rsidR="00000000" w:rsidRPr="00000000">
        <w:rPr>
          <w:rFonts w:ascii="Lucida Sans" w:cs="Lucida Sans" w:eastAsia="Lucida Sans" w:hAnsi="Lucida Sans"/>
          <w:b w:val="1"/>
          <w:bCs w:val="1"/>
          <w:sz w:val="24"/>
          <w:szCs w:val="24"/>
          <w:rtl w:val="0"/>
        </w:rPr>
        <w:t xml:space="preserve">:</w:t>
      </w:r>
      <w:r w:rsidDel="00000000" w:rsidR="00000000" w:rsidRPr="00000000">
        <w:rPr>
          <w:rFonts w:ascii="Lucida Sans" w:cs="Lucida Sans" w:eastAsia="Lucida Sans" w:hAnsi="Lucida Sans"/>
          <w:sz w:val="24"/>
          <w:szCs w:val="24"/>
          <w:rtl w:val="0"/>
        </w:rPr>
        <w:t xml:space="preserve"> La dictaminación, votación, discusión y aprobación del Decreto</w:t>
      </w:r>
      <w:r w:rsidDel="00000000" w:rsidR="00000000" w:rsidRPr="00000000">
        <w:rPr>
          <w:rFonts w:ascii="Lucida Sans" w:cs="Lucida Sans" w:eastAsia="Lucida Sans" w:hAnsi="Lucida Sans"/>
          <w:sz w:val="24"/>
          <w:szCs w:val="24"/>
          <w:vertAlign w:val="superscript"/>
        </w:rPr>
        <w:footnoteReference w:customMarkFollows="0" w:id="0"/>
      </w:r>
      <w:r w:rsidDel="00000000" w:rsidR="00000000" w:rsidRPr="00000000">
        <w:rPr>
          <w:rFonts w:ascii="Lucida Sans" w:cs="Lucida Sans" w:eastAsia="Lucida Sans" w:hAnsi="Lucida Sans"/>
          <w:sz w:val="24"/>
          <w:szCs w:val="24"/>
          <w:rtl w:val="0"/>
        </w:rPr>
        <w:t xml:space="preserve"> publicado el </w:t>
      </w:r>
      <w:r w:rsidDel="00000000" w:rsidR="00000000" w:rsidRPr="00000000">
        <w:rPr>
          <w:rFonts w:ascii="Lucida Sans" w:cs="Lucida Sans" w:eastAsia="Lucida Sans" w:hAnsi="Lucida Sans"/>
          <w:b w:val="1"/>
          <w:bCs w:val="1"/>
          <w:sz w:val="24"/>
          <w:szCs w:val="24"/>
          <w:rtl w:val="0"/>
        </w:rPr>
        <w:t xml:space="preserve">11 de diciembre</w:t>
      </w:r>
      <w:r w:rsidDel="00000000" w:rsidR="00000000" w:rsidRPr="00000000">
        <w:rPr>
          <w:rFonts w:ascii="Lucida Sans" w:cs="Lucida Sans" w:eastAsia="Lucida Sans" w:hAnsi="Lucida Sans"/>
          <w:sz w:val="24"/>
          <w:szCs w:val="24"/>
          <w:rtl w:val="0"/>
        </w:rPr>
        <w:t xml:space="preserve"> de 2025 en el Diario Oficial de la Federación, por el que </w:t>
      </w:r>
      <w:r w:rsidDel="00000000" w:rsidR="00000000" w:rsidRPr="00000000">
        <w:rPr>
          <w:rFonts w:ascii="Lucida Sans" w:cs="Lucida Sans" w:eastAsia="Lucida Sans" w:hAnsi="Lucida Sans"/>
          <w:b w:val="1"/>
          <w:bCs w:val="1"/>
          <w:sz w:val="24"/>
          <w:szCs w:val="24"/>
          <w:rtl w:val="0"/>
        </w:rPr>
        <w:t xml:space="preserve">se expide la Ley General de Aguas y, se reforman, adicionan y derogan diversas disposiciones de la Ley de Aguas Nacionales.</w:t>
      </w:r>
    </w:p>
    <w:p w:rsidR="00000000" w:rsidDel="00000000" w:rsidP="00000000" w:rsidRDefault="00000000" w:rsidRPr="00000000" w14:paraId="0000007F">
      <w:pPr>
        <w:tabs>
          <w:tab w:val="left" w:leader="none" w:pos="5529"/>
        </w:tabs>
        <w:spacing w:line="240" w:lineRule="auto"/>
        <w:ind w:left="720" w:right="562" w:firstLine="0"/>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80">
      <w:pPr>
        <w:tabs>
          <w:tab w:val="left" w:leader="none" w:pos="5529"/>
        </w:tabs>
        <w:spacing w:line="240" w:lineRule="auto"/>
        <w:ind w:left="720" w:right="562" w:firstLine="0"/>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81">
      <w:pPr>
        <w:numPr>
          <w:ilvl w:val="0"/>
          <w:numId w:val="9"/>
        </w:numPr>
        <w:tabs>
          <w:tab w:val="left" w:leader="none" w:pos="5529"/>
        </w:tabs>
        <w:spacing w:line="240" w:lineRule="auto"/>
        <w:ind w:left="720" w:right="562" w:hanging="360"/>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De la Cámara de Senadores del Congreso de la Unión:</w:t>
      </w:r>
      <w:r w:rsidDel="00000000" w:rsidR="00000000" w:rsidRPr="00000000">
        <w:rPr>
          <w:rFonts w:ascii="Lucida Sans" w:cs="Lucida Sans" w:eastAsia="Lucida Sans" w:hAnsi="Lucida Sans"/>
          <w:sz w:val="24"/>
          <w:szCs w:val="24"/>
          <w:rtl w:val="0"/>
        </w:rPr>
        <w:t xml:space="preserve"> La dictaminación, votación, discusión y aprobación del Decreto publicado el </w:t>
      </w:r>
      <w:r w:rsidDel="00000000" w:rsidR="00000000" w:rsidRPr="00000000">
        <w:rPr>
          <w:rFonts w:ascii="Lucida Sans" w:cs="Lucida Sans" w:eastAsia="Lucida Sans" w:hAnsi="Lucida Sans"/>
          <w:b w:val="1"/>
          <w:bCs w:val="1"/>
          <w:sz w:val="24"/>
          <w:szCs w:val="24"/>
          <w:rtl w:val="0"/>
        </w:rPr>
        <w:t xml:space="preserve">11 de diciembre</w:t>
      </w:r>
      <w:r w:rsidDel="00000000" w:rsidR="00000000" w:rsidRPr="00000000">
        <w:rPr>
          <w:rFonts w:ascii="Lucida Sans" w:cs="Lucida Sans" w:eastAsia="Lucida Sans" w:hAnsi="Lucida Sans"/>
          <w:sz w:val="24"/>
          <w:szCs w:val="24"/>
          <w:rtl w:val="0"/>
        </w:rPr>
        <w:t xml:space="preserve"> de 2025 en el Diario Oficial de la Federación, por el que </w:t>
      </w:r>
      <w:r w:rsidDel="00000000" w:rsidR="00000000" w:rsidRPr="00000000">
        <w:rPr>
          <w:rFonts w:ascii="Lucida Sans" w:cs="Lucida Sans" w:eastAsia="Lucida Sans" w:hAnsi="Lucida Sans"/>
          <w:b w:val="1"/>
          <w:bCs w:val="1"/>
          <w:sz w:val="24"/>
          <w:szCs w:val="24"/>
          <w:rtl w:val="0"/>
        </w:rPr>
        <w:t xml:space="preserve">se expide la Ley General de Aguas y, se reforman, adicionan y derogan diversas disposiciones de la Ley de Aguas Nacionales.</w:t>
      </w:r>
    </w:p>
    <w:p w:rsidR="00000000" w:rsidDel="00000000" w:rsidP="00000000" w:rsidRDefault="00000000" w:rsidRPr="00000000" w14:paraId="00000082">
      <w:pPr>
        <w:tabs>
          <w:tab w:val="left" w:leader="none" w:pos="5529"/>
        </w:tabs>
        <w:spacing w:line="240" w:lineRule="auto"/>
        <w:ind w:left="720" w:right="562" w:firstLine="0"/>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83">
      <w:pPr>
        <w:spacing w:line="240" w:lineRule="auto"/>
        <w:ind w:left="720" w:right="562" w:firstLine="0"/>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84">
      <w:pPr>
        <w:numPr>
          <w:ilvl w:val="0"/>
          <w:numId w:val="9"/>
        </w:numPr>
        <w:tabs>
          <w:tab w:val="left" w:leader="none" w:pos="5529"/>
        </w:tabs>
        <w:spacing w:line="240" w:lineRule="auto"/>
        <w:ind w:left="720" w:right="562" w:hanging="360"/>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De la Presidenta de los Estados Unidos Mexicanos:</w:t>
      </w:r>
      <w:r w:rsidDel="00000000" w:rsidR="00000000" w:rsidRPr="00000000">
        <w:rPr>
          <w:rFonts w:ascii="Lucida Sans" w:cs="Lucida Sans" w:eastAsia="Lucida Sans" w:hAnsi="Lucida Sans"/>
          <w:sz w:val="24"/>
          <w:szCs w:val="24"/>
          <w:rtl w:val="0"/>
        </w:rPr>
        <w:t xml:space="preserve"> La sanción, promulgación y publicación publicado el </w:t>
      </w:r>
      <w:r w:rsidDel="00000000" w:rsidR="00000000" w:rsidRPr="00000000">
        <w:rPr>
          <w:rFonts w:ascii="Lucida Sans" w:cs="Lucida Sans" w:eastAsia="Lucida Sans" w:hAnsi="Lucida Sans"/>
          <w:b w:val="1"/>
          <w:bCs w:val="1"/>
          <w:sz w:val="24"/>
          <w:szCs w:val="24"/>
          <w:rtl w:val="0"/>
        </w:rPr>
        <w:t xml:space="preserve">11 de diciembre</w:t>
      </w:r>
      <w:r w:rsidDel="00000000" w:rsidR="00000000" w:rsidRPr="00000000">
        <w:rPr>
          <w:rFonts w:ascii="Lucida Sans" w:cs="Lucida Sans" w:eastAsia="Lucida Sans" w:hAnsi="Lucida Sans"/>
          <w:sz w:val="24"/>
          <w:szCs w:val="24"/>
          <w:rtl w:val="0"/>
        </w:rPr>
        <w:t xml:space="preserve"> de 2025 en el Diario Oficial de la Federación, por el que </w:t>
      </w:r>
      <w:r w:rsidDel="00000000" w:rsidR="00000000" w:rsidRPr="00000000">
        <w:rPr>
          <w:rFonts w:ascii="Lucida Sans" w:cs="Lucida Sans" w:eastAsia="Lucida Sans" w:hAnsi="Lucida Sans"/>
          <w:b w:val="1"/>
          <w:bCs w:val="1"/>
          <w:sz w:val="24"/>
          <w:szCs w:val="24"/>
          <w:rtl w:val="0"/>
        </w:rPr>
        <w:t xml:space="preserve">se expide la Ley General de Aguas y, se reforman, adicionan y derogan diversas disposiciones de la Ley de Aguas Nacionales.</w:t>
      </w:r>
    </w:p>
    <w:p w:rsidR="00000000" w:rsidDel="00000000" w:rsidP="00000000" w:rsidRDefault="00000000" w:rsidRPr="00000000" w14:paraId="00000085">
      <w:pPr>
        <w:tabs>
          <w:tab w:val="left" w:leader="none" w:pos="5529"/>
        </w:tabs>
        <w:spacing w:line="240" w:lineRule="auto"/>
        <w:ind w:left="720" w:right="562" w:firstLine="0"/>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86">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87">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V. ANTECEDENTES:</w:t>
      </w:r>
    </w:p>
    <w:p w:rsidR="00000000" w:rsidDel="00000000" w:rsidP="00000000" w:rsidRDefault="00000000" w:rsidRPr="00000000" w14:paraId="00000088">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89">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b w:val="1"/>
          <w:bCs w:val="1"/>
          <w:sz w:val="24"/>
          <w:szCs w:val="24"/>
          <w:rtl w:val="0"/>
        </w:rPr>
        <w:t xml:space="preserve">Bajo formal protesta de decir verdad, </w:t>
      </w:r>
      <w:r w:rsidDel="00000000" w:rsidR="00000000" w:rsidRPr="00000000">
        <w:rPr>
          <w:rFonts w:ascii="Lucida Sans" w:cs="Lucida Sans" w:eastAsia="Lucida Sans" w:hAnsi="Lucida Sans"/>
          <w:sz w:val="24"/>
          <w:szCs w:val="24"/>
          <w:rtl w:val="0"/>
        </w:rPr>
        <w:t xml:space="preserve">la parte quejosa manifiesta en los términos que le constan los hechos que constituyen los antecedentes de los actos reclamados y que sirven de fundamento a los conceptos de violación son los siguientes:</w:t>
      </w:r>
    </w:p>
    <w:p w:rsidR="00000000" w:rsidDel="00000000" w:rsidP="00000000" w:rsidRDefault="00000000" w:rsidRPr="00000000" w14:paraId="0000008A">
      <w:pP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INICIATIVA DE REFORMA.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El nueve de octubre del 2025 la Titular del Poder Ejecutivo Federal (Presidenta de los Estados Unidos Mexicanos) presentó ante la Cámara de Diputados del Congreso de la Unión, la iniciativa con proyecto de decreto por el que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se expide la Ley General de Aguas y, se reforman, adicionan y derogan diversas disposiciones de la Ley de Aguas Nacionales.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TURNO.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El 14 de octubre de 2025, la Presidenta de la Mesa Directiva de la Cámara de Diputados del Congreso de la Unión, informó al Pleno de la Asamblea sobre dicha iniciativa y dio trámite con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turno</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a la Comisión de Recursos Hidráulicos, Agua Potable y Saneamiento y, para opinión, a las Comisiones de Presupuesto y Cuenta Pública, de Desarrollo y Conservación Rural, Agrícola y Autosuficiencia Alimentaria.</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ucida Sans" w:cs="Lucida Sans" w:eastAsia="Lucida Sans" w:hAnsi="Lucida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DICTAMINACIÓN EN COMISIONES DE LA CÁMARA DE DIPUTADOS.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El 03 de diciembre de 2025, Comisión de Recursos Hidráulicos, Agua Potable y Saneamiento aprobaron, por mayoría de votos, el Dictamen con proyecto de decreto por el que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se expide la Ley General de Aguas y, se reforman, adicionan y derogan diversas disposiciones de la Ley de Aguas Nacionales.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SESIÓN DE LA CÁMARA DE DIPUTADOS.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El 03 de diciembre de 2025, el Pleno de la Cámara de Diputados del Congreso de la Unión aprobó el dictamen</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Pr>
        <w:footnoteReference w:customMarkFollows="0" w:id="1"/>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con proyecto de decreto por el que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se expide la Ley General de Aguas y, se reforman, adicionan y derogan diversas disposiciones de la Ley de Aguas Nacionales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por 328 votos a favor, 131 en contra y 05 abstenciones.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TURNO DE LA MINUTA A LA CÁMARA DE DIPUTADOS.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El 04 de diciembre de 2025, la Cámara de Senadores recibió la minuta enunciada. Ese mismo día, el Pleno de la citada cámara dispensó todos los trámites reglamentarios por lo que lo incorporó al orden del día de la sesión de esta fecha.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both"/>
        <w:rPr>
          <w:rFonts w:ascii="Lucida Sans" w:cs="Lucida Sans" w:eastAsia="Lucida Sans" w:hAnsi="Lucida Sans"/>
          <w:b w:val="1"/>
          <w:bCs w:val="1"/>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APROBACIÓN POR LA CÁMARA DE SENADORES.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En sesión ordinaria de la Cámara de Senadores de fecha 04 de diciembre de 2025, con 82 votos en pro, 34 en contra y 0 abstenciones, se aprobó</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Pr>
        <w:footnoteReference w:customMarkFollows="0" w:id="2"/>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la minuta de referencia.</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ucida Sans" w:cs="Lucida Sans" w:eastAsia="Lucida Sans" w:hAnsi="Lucida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3"/>
          <w:numId w:val="3"/>
        </w:numPr>
        <w:pBdr>
          <w:top w:space="0" w:sz="0" w:val="nil"/>
          <w:left w:space="0" w:sz="0" w:val="nil"/>
          <w:bottom w:space="0" w:sz="0" w:val="nil"/>
          <w:right w:space="0" w:sz="0" w:val="nil"/>
          <w:between w:space="0" w:sz="0" w:val="nil"/>
        </w:pBdr>
        <w:shd w:fill="auto" w:val="clear"/>
        <w:tabs>
          <w:tab w:val="left" w:leader="none" w:pos="567"/>
          <w:tab w:val="left" w:leader="none" w:pos="5529"/>
        </w:tabs>
        <w:spacing w:after="0" w:before="0" w:line="240" w:lineRule="auto"/>
        <w:ind w:left="0" w:right="2"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PUBLICACIÓN EN EL DOF.</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El 11 de diciembre de dos mil veinticinco, se publicó en el Diario Oficial de la Federación decreto por el que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se expide la Ley General de Aguas y, se reforman, adicionan y derogan diversas disposiciones de la Ley de Aguas Nacionales.</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529"/>
        </w:tabs>
        <w:spacing w:after="0" w:before="0" w:line="240" w:lineRule="auto"/>
        <w:ind w:left="0" w:right="562"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tabs>
          <w:tab w:val="left" w:leader="none" w:pos="5529"/>
        </w:tabs>
        <w:spacing w:line="240" w:lineRule="auto"/>
        <w:ind w:right="2"/>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VI. PRECEPTOS QUE CONTIENEN LOS DERECHOS HUMANOS Y LAS GARANTÍAS CUYA VIOLACIÓN SE RECLAMA</w:t>
      </w:r>
    </w:p>
    <w:p w:rsidR="00000000" w:rsidDel="00000000" w:rsidP="00000000" w:rsidRDefault="00000000" w:rsidRPr="00000000" w14:paraId="0000009A">
      <w:pPr>
        <w:tabs>
          <w:tab w:val="left" w:leader="none" w:pos="5529"/>
        </w:tabs>
        <w:spacing w:line="240" w:lineRule="auto"/>
        <w:ind w:right="562"/>
        <w:jc w:val="both"/>
        <w:rPr>
          <w:rFonts w:ascii="Lucida Sans" w:cs="Lucida Sans" w:eastAsia="Lucida Sans" w:hAnsi="Lucida Sans"/>
          <w:sz w:val="24"/>
          <w:szCs w:val="24"/>
          <w:highlight w:val="yellow"/>
        </w:rPr>
      </w:pPr>
      <w:r w:rsidDel="00000000" w:rsidR="00000000" w:rsidRPr="00000000">
        <w:rPr>
          <w:rtl w:val="0"/>
        </w:rPr>
      </w:r>
    </w:p>
    <w:p w:rsidR="00000000" w:rsidDel="00000000" w:rsidP="00000000" w:rsidRDefault="00000000" w:rsidRPr="00000000" w14:paraId="0000009B">
      <w:pPr>
        <w:spacing w:line="240" w:lineRule="auto"/>
        <w:ind w:right="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Se estiman violados los artículos 1º, 2º, 4º 14, 16, 17º, 29, 40, 41, 49, 50, 54, 72, 80, 94, 107, 116, 122 y 135 de la Constitución Política de los Estados Unidos Mexicanos; 13 de la Declaración Universal de los Derechos Humanos; 1º, 2º, 8º, 22.1 y 25 de la Convención Americana sobre Derechos Humanos; y el Pacto Internacional de Derechos Civiles y Políticos de los que se desprenden los principios de promoción y respeto a los derechos humanos, irretroactividad, seguridad jurídica.</w:t>
      </w:r>
    </w:p>
    <w:p w:rsidR="00000000" w:rsidDel="00000000" w:rsidP="00000000" w:rsidRDefault="00000000" w:rsidRPr="00000000" w14:paraId="0000009C">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9D">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VII. OPORTUNIDAD  </w:t>
      </w:r>
    </w:p>
    <w:p w:rsidR="00000000" w:rsidDel="00000000" w:rsidP="00000000" w:rsidRDefault="00000000" w:rsidRPr="00000000" w14:paraId="0000009E">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9F">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El decreto reclamado tiene como consecuencia que se cambiaran las condiciones de </w:t>
      </w:r>
      <w:r w:rsidDel="00000000" w:rsidR="00000000" w:rsidRPr="00000000">
        <w:rPr>
          <w:rFonts w:ascii="Lucida Sans" w:cs="Lucida Sans" w:eastAsia="Lucida Sans" w:hAnsi="Lucida Sans"/>
          <w:b w:val="1"/>
          <w:bCs w:val="1"/>
          <w:color w:val="000000"/>
          <w:sz w:val="24"/>
          <w:szCs w:val="24"/>
          <w:rtl w:val="0"/>
        </w:rPr>
        <w:t xml:space="preserve">transmisión y cambio de uso de las concesiones, asignaciones y permisos</w:t>
      </w:r>
      <w:r w:rsidDel="00000000" w:rsidR="00000000" w:rsidRPr="00000000">
        <w:rPr>
          <w:rFonts w:ascii="Lucida Sans" w:cs="Lucida Sans" w:eastAsia="Lucida Sans" w:hAnsi="Lucida Sans"/>
          <w:color w:val="000000"/>
          <w:sz w:val="24"/>
          <w:szCs w:val="24"/>
          <w:rtl w:val="0"/>
        </w:rPr>
        <w:t xml:space="preserve">. En ese sentido, el Decreto reclamado tiene efectos autoaplicativos, puesto que esto ocurre sin la necesidad de que se elabore un acto posterior con fundamento en dicha ley. </w:t>
      </w:r>
    </w:p>
    <w:p w:rsidR="00000000" w:rsidDel="00000000" w:rsidP="00000000" w:rsidRDefault="00000000" w:rsidRPr="00000000" w14:paraId="000000A0">
      <w:pPr>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A1">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Sirve de apoyo a lo anterior la tesis emitida por el Pleno de la Suprema Corte de Justicia de la Nación de rubro: </w:t>
      </w:r>
      <w:r w:rsidDel="00000000" w:rsidR="00000000" w:rsidRPr="00000000">
        <w:rPr>
          <w:rFonts w:ascii="Lucida Sans" w:cs="Lucida Sans" w:eastAsia="Lucida Sans" w:hAnsi="Lucida Sans"/>
          <w:b w:val="1"/>
          <w:bCs w:val="1"/>
          <w:i w:val="1"/>
          <w:iCs w:val="1"/>
          <w:color w:val="000000"/>
          <w:sz w:val="24"/>
          <w:szCs w:val="24"/>
          <w:rtl w:val="0"/>
        </w:rPr>
        <w:t xml:space="preserve">“LEYES AUTOAPLICATIVAS Y HETEROAPLICATIVAS. DISTINCIÓN BASADA EN EL CONCEPTO DE INDIVIDUALIZACIÓN INCONDICIONADA</w:t>
      </w:r>
      <w:r w:rsidDel="00000000" w:rsidR="00000000" w:rsidRPr="00000000">
        <w:rPr>
          <w:rFonts w:ascii="Lucida Sans" w:cs="Lucida Sans" w:eastAsia="Lucida Sans" w:hAnsi="Lucida Sans"/>
          <w:i w:val="1"/>
          <w:iCs w:val="1"/>
          <w:color w:val="000000"/>
          <w:sz w:val="24"/>
          <w:szCs w:val="24"/>
          <w:rtl w:val="0"/>
        </w:rPr>
        <w:t xml:space="preserve">.”</w:t>
      </w:r>
      <w:r w:rsidDel="00000000" w:rsidR="00000000" w:rsidRPr="00000000">
        <w:rPr>
          <w:rFonts w:ascii="Lucida Sans" w:cs="Lucida Sans" w:eastAsia="Lucida Sans" w:hAnsi="Lucida Sans"/>
          <w:i w:val="1"/>
          <w:iCs w:val="1"/>
          <w:color w:val="000000"/>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A2">
      <w:pPr>
        <w:spacing w:line="240" w:lineRule="auto"/>
        <w:jc w:val="both"/>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0A3">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Así, de conformidad con los artículos 17, 18, 19, y 22 de la Ley de Amparo, la presente demanda de amparo es oportuna, pues al tratarse de una norma general de naturaleza y efectos autoaplicativos, le corresponde el plazo de 15 días previsto en dicha ley.</w:t>
      </w:r>
    </w:p>
    <w:p w:rsidR="00000000" w:rsidDel="00000000" w:rsidP="00000000" w:rsidRDefault="00000000" w:rsidRPr="00000000" w14:paraId="000000A4">
      <w:pPr>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A5">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Lo anterior es así pues la norma reclamada fue publicada en el Diario Oficial de la Federación el día </w:t>
      </w:r>
      <w:r w:rsidDel="00000000" w:rsidR="00000000" w:rsidRPr="00000000">
        <w:rPr>
          <w:rFonts w:ascii="Lucida Sans" w:cs="Lucida Sans" w:eastAsia="Lucida Sans" w:hAnsi="Lucida Sans"/>
          <w:b w:val="1"/>
          <w:bCs w:val="1"/>
          <w:color w:val="000000"/>
          <w:sz w:val="24"/>
          <w:szCs w:val="24"/>
          <w:rtl w:val="0"/>
        </w:rPr>
        <w:t xml:space="preserve">11 de diciembre de 2025</w:t>
      </w:r>
      <w:r w:rsidDel="00000000" w:rsidR="00000000" w:rsidRPr="00000000">
        <w:rPr>
          <w:rFonts w:ascii="Lucida Sans" w:cs="Lucida Sans" w:eastAsia="Lucida Sans" w:hAnsi="Lucida Sans"/>
          <w:color w:val="000000"/>
          <w:sz w:val="24"/>
          <w:szCs w:val="24"/>
          <w:rtl w:val="0"/>
        </w:rPr>
        <w:t xml:space="preserve">, entrando en vigor al día siguiente conforme al artículo primero transitorio del mismo ordenamiento, particularmente lo relativo </w:t>
      </w:r>
      <w:r w:rsidDel="00000000" w:rsidR="00000000" w:rsidRPr="00000000">
        <w:rPr>
          <w:rFonts w:ascii="Lucida Sans" w:cs="Lucida Sans" w:eastAsia="Lucida Sans" w:hAnsi="Lucida Sans"/>
          <w:b w:val="1"/>
          <w:bCs w:val="1"/>
          <w:color w:val="000000"/>
          <w:sz w:val="24"/>
          <w:szCs w:val="24"/>
          <w:rtl w:val="0"/>
        </w:rPr>
        <w:t xml:space="preserve">transmisión y cambios de uso de las concesiones y asignaciones</w:t>
      </w:r>
      <w:r w:rsidDel="00000000" w:rsidR="00000000" w:rsidRPr="00000000">
        <w:rPr>
          <w:rFonts w:ascii="Lucida Sans" w:cs="Lucida Sans" w:eastAsia="Lucida Sans" w:hAnsi="Lucida Sans"/>
          <w:color w:val="000000"/>
          <w:sz w:val="24"/>
          <w:szCs w:val="24"/>
          <w:rtl w:val="0"/>
        </w:rPr>
        <w:t xml:space="preserve">. </w:t>
      </w:r>
    </w:p>
    <w:p w:rsidR="00000000" w:rsidDel="00000000" w:rsidP="00000000" w:rsidRDefault="00000000" w:rsidRPr="00000000" w14:paraId="000000A6">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Por lo que el cómputo del plazo se deberá realizar el día en que la norma general </w:t>
      </w:r>
      <w:r w:rsidDel="00000000" w:rsidR="00000000" w:rsidRPr="00000000">
        <w:rPr>
          <w:rFonts w:ascii="Lucida Sans" w:cs="Lucida Sans" w:eastAsia="Lucida Sans" w:hAnsi="Lucida Sans"/>
          <w:sz w:val="24"/>
          <w:szCs w:val="24"/>
          <w:rtl w:val="0"/>
        </w:rPr>
        <w:t xml:space="preserve">entre en vigor</w:t>
      </w:r>
      <w:r w:rsidDel="00000000" w:rsidR="00000000" w:rsidRPr="00000000">
        <w:rPr>
          <w:rFonts w:ascii="Lucida Sans" w:cs="Lucida Sans" w:eastAsia="Lucida Sans" w:hAnsi="Lucida Sans"/>
          <w:color w:val="000000"/>
          <w:sz w:val="24"/>
          <w:szCs w:val="24"/>
          <w:rtl w:val="0"/>
        </w:rPr>
        <w:t xml:space="preserve">, el plazo para impugnar los actos reclamados por la presente vía transcurre a partir del día 12 (día 1) y 15 (día 2) de diciembre, sin embargo, teniendo en cuenta los días inhábiles por ley (sábado y domingos), así como los que se determinaron por el Órgano de Administración Judicial publicados en el Portal Oficial bajo el siguiente link: </w:t>
      </w:r>
      <w:hyperlink r:id="rId10">
        <w:r w:rsidDel="00000000" w:rsidR="00000000" w:rsidRPr="00000000">
          <w:rPr>
            <w:rFonts w:ascii="Lucida Sans" w:cs="Lucida Sans" w:eastAsia="Lucida Sans" w:hAnsi="Lucida Sans"/>
            <w:color w:val="0563c1"/>
            <w:sz w:val="24"/>
            <w:szCs w:val="24"/>
            <w:u w:val="single"/>
            <w:rtl w:val="0"/>
          </w:rPr>
          <w:t xml:space="preserve">https://www.oaj.gob.mx/transparencia/paginas/diasInhabiles.htm#2025</w:t>
        </w:r>
      </w:hyperlink>
      <w:r w:rsidDel="00000000" w:rsidR="00000000" w:rsidRPr="00000000">
        <w:rPr>
          <w:rFonts w:ascii="Lucida Sans" w:cs="Lucida Sans" w:eastAsia="Lucida Sans" w:hAnsi="Lucida Sans"/>
          <w:color w:val="000000"/>
          <w:sz w:val="24"/>
          <w:szCs w:val="24"/>
          <w:rtl w:val="0"/>
        </w:rPr>
        <w:t xml:space="preserve"> el plazo se suspendió el día 16 de diciembre por que se deberá reanudar para su cómputo el día viernes 2 de enero de 2026, luego entonces, a la fecha de la presentación de la presente demanda se realiza de manera oportuna.</w:t>
      </w:r>
    </w:p>
    <w:p w:rsidR="00000000" w:rsidDel="00000000" w:rsidP="00000000" w:rsidRDefault="00000000" w:rsidRPr="00000000" w14:paraId="000000A7">
      <w:pP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A8">
      <w:pP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En el caso, de acuerdo con el cómputo de los días que se han precisado, el plazo señalado en el párrafo anterior todavía no fenece por lo que resulta oportuna la presentación de este medio de defensa. </w:t>
      </w:r>
    </w:p>
    <w:p w:rsidR="00000000" w:rsidDel="00000000" w:rsidP="00000000" w:rsidRDefault="00000000" w:rsidRPr="00000000" w14:paraId="000000A9">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AA">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VIII. INTERÉS LEGÍTIMO </w:t>
      </w:r>
    </w:p>
    <w:p w:rsidR="00000000" w:rsidDel="00000000" w:rsidP="00000000" w:rsidRDefault="00000000" w:rsidRPr="00000000" w14:paraId="000000AB">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AC">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presente demanda también es procedente en contra de las normas generales reclamadas, las cuales se combaten en su carácter autoaplicativo, por lesionar el interés legítimo de la parte quejosa. Para mostrar lo anterior, a continuación, se explicará </w:t>
      </w:r>
      <w:r w:rsidDel="00000000" w:rsidR="00000000" w:rsidRPr="00000000">
        <w:rPr>
          <w:rFonts w:ascii="Lucida Sans" w:cs="Lucida Sans" w:eastAsia="Lucida Sans" w:hAnsi="Lucida Sans"/>
          <w:b w:val="1"/>
          <w:bCs w:val="1"/>
          <w:sz w:val="24"/>
          <w:szCs w:val="24"/>
          <w:rtl w:val="0"/>
        </w:rPr>
        <w:t xml:space="preserve">a) </w:t>
      </w:r>
      <w:r w:rsidDel="00000000" w:rsidR="00000000" w:rsidRPr="00000000">
        <w:rPr>
          <w:rFonts w:ascii="Lucida Sans" w:cs="Lucida Sans" w:eastAsia="Lucida Sans" w:hAnsi="Lucida Sans"/>
          <w:sz w:val="24"/>
          <w:szCs w:val="24"/>
          <w:rtl w:val="0"/>
        </w:rPr>
        <w:t xml:space="preserve">la diferencia entre normas de aplicación condicionada e incondicionada y su superación en algunos casos de interés legítimo y </w:t>
      </w:r>
      <w:r w:rsidDel="00000000" w:rsidR="00000000" w:rsidRPr="00000000">
        <w:rPr>
          <w:rFonts w:ascii="Lucida Sans" w:cs="Lucida Sans" w:eastAsia="Lucida Sans" w:hAnsi="Lucida Sans"/>
          <w:b w:val="1"/>
          <w:bCs w:val="1"/>
          <w:sz w:val="24"/>
          <w:szCs w:val="24"/>
          <w:rtl w:val="0"/>
        </w:rPr>
        <w:t xml:space="preserve">b)</w:t>
      </w:r>
      <w:r w:rsidDel="00000000" w:rsidR="00000000" w:rsidRPr="00000000">
        <w:rPr>
          <w:rFonts w:ascii="Lucida Sans" w:cs="Lucida Sans" w:eastAsia="Lucida Sans" w:hAnsi="Lucida Sans"/>
          <w:sz w:val="24"/>
          <w:szCs w:val="24"/>
          <w:rtl w:val="0"/>
        </w:rPr>
        <w:t xml:space="preserve"> la naturaleza del Decreto impugnado como sistema normativo complejo que puede ser impugnado, en su totalidad, como autoaplicativo.</w:t>
      </w:r>
    </w:p>
    <w:p w:rsidR="00000000" w:rsidDel="00000000" w:rsidP="00000000" w:rsidRDefault="00000000" w:rsidRPr="00000000" w14:paraId="000000AD">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AE">
      <w:pPr>
        <w:spacing w:line="240" w:lineRule="auto"/>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a) La distinción entre normas generales autoaplicativas y heteroaplicativas, y su superación en algunos casos de interés legítimo</w:t>
      </w:r>
    </w:p>
    <w:p w:rsidR="00000000" w:rsidDel="00000000" w:rsidP="00000000" w:rsidRDefault="00000000" w:rsidRPr="00000000" w14:paraId="000000AF">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0B0">
      <w:pP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En diversos criterios del Poder Judicial de la Federación se considerado que tratándose de supuestos de interés legítimo sólo se requiere constatar una afectación individual o colectiva, a partir de una situación calificada, actual, real y jurídicamente relevante a sus intereses, que esté tutelada por el derecho objetivo para que, en caso de obtener el amparo, pueda traducirse en un beneficio para el quejoso, lo anterior tal y como consta en las tesis </w:t>
      </w:r>
      <w:r w:rsidDel="00000000" w:rsidR="00000000" w:rsidRPr="00000000">
        <w:rPr>
          <w:rFonts w:ascii="Lucida Sans" w:cs="Lucida Sans" w:eastAsia="Lucida Sans" w:hAnsi="Lucida Sans"/>
          <w:b w:val="1"/>
          <w:bCs w:val="1"/>
          <w:i w:val="1"/>
          <w:iCs w:val="1"/>
          <w:color w:val="000000"/>
          <w:sz w:val="24"/>
          <w:szCs w:val="24"/>
          <w:rtl w:val="0"/>
        </w:rPr>
        <w:t xml:space="preserve">“INTERÉS LEGÍTIMO EN EL AMPARO. REQUISITOS PARA ACREDITARLO TRATÁNDOSE DEL RECLAMO DE NORMAS GENERALES AUTOAPLICATIVAS.”</w:t>
      </w:r>
      <w:r w:rsidDel="00000000" w:rsidR="00000000" w:rsidRPr="00000000">
        <w:rPr>
          <w:rFonts w:ascii="Lucida Sans" w:cs="Lucida Sans" w:eastAsia="Lucida Sans" w:hAnsi="Lucida Sans"/>
          <w:i w:val="1"/>
          <w:iCs w:val="1"/>
          <w:color w:val="000000"/>
          <w:sz w:val="24"/>
          <w:szCs w:val="24"/>
          <w:vertAlign w:val="superscript"/>
        </w:rPr>
        <w:footnoteReference w:customMarkFollows="0" w:id="4"/>
      </w:r>
      <w:r w:rsidDel="00000000" w:rsidR="00000000" w:rsidRPr="00000000">
        <w:rPr>
          <w:rFonts w:ascii="Lucida Sans" w:cs="Lucida Sans" w:eastAsia="Lucida Sans" w:hAnsi="Lucida Sans"/>
          <w:b w:val="1"/>
          <w:bCs w:val="1"/>
          <w:i w:val="1"/>
          <w:iCs w:val="1"/>
          <w:color w:val="000000"/>
          <w:sz w:val="24"/>
          <w:szCs w:val="24"/>
          <w:rtl w:val="0"/>
        </w:rPr>
        <w:t xml:space="preserve"> </w:t>
      </w:r>
      <w:r w:rsidDel="00000000" w:rsidR="00000000" w:rsidRPr="00000000">
        <w:rPr>
          <w:rFonts w:ascii="Lucida Sans" w:cs="Lucida Sans" w:eastAsia="Lucida Sans" w:hAnsi="Lucida Sans"/>
          <w:color w:val="000000"/>
          <w:sz w:val="24"/>
          <w:szCs w:val="24"/>
          <w:rtl w:val="0"/>
        </w:rPr>
        <w:t xml:space="preserve">y</w:t>
      </w:r>
      <w:r w:rsidDel="00000000" w:rsidR="00000000" w:rsidRPr="00000000">
        <w:rPr>
          <w:rFonts w:ascii="Lucida Sans" w:cs="Lucida Sans" w:eastAsia="Lucida Sans" w:hAnsi="Lucida Sans"/>
          <w:b w:val="1"/>
          <w:bCs w:val="1"/>
          <w:i w:val="1"/>
          <w:iCs w:val="1"/>
          <w:color w:val="000000"/>
          <w:sz w:val="24"/>
          <w:szCs w:val="24"/>
          <w:rtl w:val="0"/>
        </w:rPr>
        <w:t xml:space="preserve"> “INTERÉS JURÍDICO E INTERÉS LEGÍTIMO EN EL AMPARO. SUS DIFERENCIAS EN MATERIA PROBATORIA PARA ACREDITARLOS CUANDO SE IMPUGNAN LEYES AUTOAPLICATIVAS.</w:t>
      </w:r>
      <w:r w:rsidDel="00000000" w:rsidR="00000000" w:rsidRPr="00000000">
        <w:rPr>
          <w:rFonts w:ascii="Lucida Sans" w:cs="Lucida Sans" w:eastAsia="Lucida Sans" w:hAnsi="Lucida Sans"/>
          <w:i w:val="1"/>
          <w:iCs w:val="1"/>
          <w:color w:val="000000"/>
          <w:sz w:val="24"/>
          <w:szCs w:val="24"/>
          <w:rtl w:val="0"/>
        </w:rPr>
        <w:t xml:space="preserve">”</w:t>
      </w:r>
      <w:r w:rsidDel="00000000" w:rsidR="00000000" w:rsidRPr="00000000">
        <w:rPr>
          <w:rFonts w:ascii="Lucida Sans" w:cs="Lucida Sans" w:eastAsia="Lucida Sans" w:hAnsi="Lucida Sans"/>
          <w:i w:val="1"/>
          <w:iCs w:val="1"/>
          <w:color w:val="000000"/>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B1">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0B2">
      <w:pP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Como se advierte de los criterios anteriores, para identificar si la norma genera una afectación de carácter autoaplicativo, es necesario: </w:t>
      </w:r>
      <w:r w:rsidDel="00000000" w:rsidR="00000000" w:rsidRPr="00000000">
        <w:rPr>
          <w:rFonts w:ascii="Lucida Sans" w:cs="Lucida Sans" w:eastAsia="Lucida Sans" w:hAnsi="Lucida Sans"/>
          <w:b w:val="1"/>
          <w:bCs w:val="1"/>
          <w:color w:val="000000"/>
          <w:sz w:val="24"/>
          <w:szCs w:val="24"/>
          <w:rtl w:val="0"/>
        </w:rPr>
        <w:t xml:space="preserve">1)</w:t>
      </w:r>
      <w:r w:rsidDel="00000000" w:rsidR="00000000" w:rsidRPr="00000000">
        <w:rPr>
          <w:rFonts w:ascii="Lucida Sans" w:cs="Lucida Sans" w:eastAsia="Lucida Sans" w:hAnsi="Lucida Sans"/>
          <w:color w:val="000000"/>
          <w:sz w:val="24"/>
          <w:szCs w:val="24"/>
          <w:rtl w:val="0"/>
        </w:rPr>
        <w:t xml:space="preserve"> identificar el tipo de derecho y la calidad con la que se defiende la parte quejosa; </w:t>
      </w:r>
      <w:r w:rsidDel="00000000" w:rsidR="00000000" w:rsidRPr="00000000">
        <w:rPr>
          <w:rFonts w:ascii="Lucida Sans" w:cs="Lucida Sans" w:eastAsia="Lucida Sans" w:hAnsi="Lucida Sans"/>
          <w:b w:val="1"/>
          <w:bCs w:val="1"/>
          <w:color w:val="000000"/>
          <w:sz w:val="24"/>
          <w:szCs w:val="24"/>
          <w:rtl w:val="0"/>
        </w:rPr>
        <w:t xml:space="preserve">2)</w:t>
      </w:r>
      <w:r w:rsidDel="00000000" w:rsidR="00000000" w:rsidRPr="00000000">
        <w:rPr>
          <w:rFonts w:ascii="Lucida Sans" w:cs="Lucida Sans" w:eastAsia="Lucida Sans" w:hAnsi="Lucida Sans"/>
          <w:color w:val="000000"/>
          <w:sz w:val="24"/>
          <w:szCs w:val="24"/>
          <w:rtl w:val="0"/>
        </w:rPr>
        <w:t xml:space="preserve"> si se trata de un derecho objetivo tutelado por el ordenamiento jurídico; </w:t>
      </w:r>
      <w:r w:rsidDel="00000000" w:rsidR="00000000" w:rsidRPr="00000000">
        <w:rPr>
          <w:rFonts w:ascii="Lucida Sans" w:cs="Lucida Sans" w:eastAsia="Lucida Sans" w:hAnsi="Lucida Sans"/>
          <w:b w:val="1"/>
          <w:bCs w:val="1"/>
          <w:color w:val="000000"/>
          <w:sz w:val="24"/>
          <w:szCs w:val="24"/>
          <w:rtl w:val="0"/>
        </w:rPr>
        <w:t xml:space="preserve">3)</w:t>
      </w:r>
      <w:r w:rsidDel="00000000" w:rsidR="00000000" w:rsidRPr="00000000">
        <w:rPr>
          <w:rFonts w:ascii="Lucida Sans" w:cs="Lucida Sans" w:eastAsia="Lucida Sans" w:hAnsi="Lucida Sans"/>
          <w:color w:val="000000"/>
          <w:sz w:val="24"/>
          <w:szCs w:val="24"/>
          <w:rtl w:val="0"/>
        </w:rPr>
        <w:t xml:space="preserve"> la gradualidad de la posible afectación y, </w:t>
      </w:r>
      <w:r w:rsidDel="00000000" w:rsidR="00000000" w:rsidRPr="00000000">
        <w:rPr>
          <w:rFonts w:ascii="Lucida Sans" w:cs="Lucida Sans" w:eastAsia="Lucida Sans" w:hAnsi="Lucida Sans"/>
          <w:b w:val="1"/>
          <w:bCs w:val="1"/>
          <w:color w:val="000000"/>
          <w:sz w:val="24"/>
          <w:szCs w:val="24"/>
          <w:rtl w:val="0"/>
        </w:rPr>
        <w:t xml:space="preserve">4)</w:t>
      </w:r>
      <w:r w:rsidDel="00000000" w:rsidR="00000000" w:rsidRPr="00000000">
        <w:rPr>
          <w:rFonts w:ascii="Lucida Sans" w:cs="Lucida Sans" w:eastAsia="Lucida Sans" w:hAnsi="Lucida Sans"/>
          <w:color w:val="000000"/>
          <w:sz w:val="24"/>
          <w:szCs w:val="24"/>
          <w:rtl w:val="0"/>
        </w:rPr>
        <w:t xml:space="preserve"> en función de ello, los elementos probatorios aportados por la parte quejosa. En otras palabras, es necesario analizar si se actualiza el interés legítimo de la parte quejosa. Como se mostrará a continuación, todos esos supuestos se actualizan en el caso concreto, por lo que debe reconocerse la procedencia de la presente demanda en contra de las normas impugnadas.</w:t>
      </w:r>
    </w:p>
    <w:p w:rsidR="00000000" w:rsidDel="00000000" w:rsidP="00000000" w:rsidRDefault="00000000" w:rsidRPr="00000000" w14:paraId="000000B3">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0B4">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b) La naturaleza de las normas generales impugnadas y la posibilidad de reclamarlas en el presente caso</w:t>
      </w:r>
    </w:p>
    <w:p w:rsidR="00000000" w:rsidDel="00000000" w:rsidP="00000000" w:rsidRDefault="00000000" w:rsidRPr="00000000" w14:paraId="000000B5">
      <w:pPr>
        <w:tabs>
          <w:tab w:val="left" w:leader="none" w:pos="5529"/>
        </w:tabs>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0B6">
      <w:pP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Como se mostró en los antecedentes, el Decreto que contiene las normas generales impugnadas modificó diversos artículos, la cual es un sistema normativo complejo, cuyas normas pueden ser impugnadas, en su conjunto, como normas autoaplicativas. Además, los cambios generados producen una afectación a varios derechos objetivos tutelados por nuestro ordenamiento jurídico, actualizando el interés legítimo de la parte quejosa. Esto es, por la cantidad de artículos reformados, la cantidad de cambios realizados y las diferentes obligaciones que se derivan de estos, es posible concluir que el Decreto impugnado contiene un sistema normativo complejo y en términos de los siguientes precedentes es posible impugnar todas las normas contenidas en los mismos por su carácter autoaplicativo.</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5529"/>
        </w:tabs>
        <w:spacing w:line="240" w:lineRule="auto"/>
        <w:ind w:left="851" w:firstLine="0"/>
        <w:jc w:val="both"/>
        <w:rPr>
          <w:rFonts w:ascii="Lucida Sans" w:cs="Lucida Sans" w:eastAsia="Lucida Sans" w:hAnsi="Lucida Sans"/>
          <w:i w:val="1"/>
          <w:iCs w:val="1"/>
          <w:color w:val="000000"/>
          <w:sz w:val="20"/>
          <w:szCs w:val="20"/>
        </w:rPr>
      </w:pPr>
      <w:r w:rsidDel="00000000" w:rsidR="00000000" w:rsidRPr="00000000">
        <w:rPr>
          <w:rFonts w:ascii="Lucida Sans" w:cs="Lucida Sans" w:eastAsia="Lucida Sans" w:hAnsi="Lucida Sans"/>
          <w:i w:val="1"/>
          <w:iCs w:val="1"/>
          <w:color w:val="000000"/>
          <w:sz w:val="20"/>
          <w:szCs w:val="20"/>
          <w:rtl w:val="0"/>
        </w:rPr>
        <w:t xml:space="preserve">“</w:t>
      </w:r>
      <w:r w:rsidDel="00000000" w:rsidR="00000000" w:rsidRPr="00000000">
        <w:rPr>
          <w:rFonts w:ascii="Lucida Sans" w:cs="Lucida Sans" w:eastAsia="Lucida Sans" w:hAnsi="Lucida Sans"/>
          <w:b w:val="1"/>
          <w:bCs w:val="1"/>
          <w:i w:val="1"/>
          <w:iCs w:val="1"/>
          <w:color w:val="000000"/>
          <w:sz w:val="20"/>
          <w:szCs w:val="20"/>
          <w:rtl w:val="0"/>
        </w:rPr>
        <w:t xml:space="preserve">PREVENCIÓN E IDENTIFICACIÓN DE OPERACIONES CON RECURSOS DE PROCEDENCIA ILÍCITA. LA LEY FEDERAL RELATIVA, AL CONSTITUIR UN SISTEMA NORMATIVO COMPLEJO, RESULTA IMPUGNABLE EN AMPARO DESDE SU ENTRADA EN VIGOR</w:t>
      </w:r>
      <w:r w:rsidDel="00000000" w:rsidR="00000000" w:rsidRPr="00000000">
        <w:rPr>
          <w:rFonts w:ascii="Lucida Sans" w:cs="Lucida Sans" w:eastAsia="Lucida Sans" w:hAnsi="Lucida Sans"/>
          <w:i w:val="1"/>
          <w:iCs w:val="1"/>
          <w:color w:val="000000"/>
          <w:sz w:val="20"/>
          <w:szCs w:val="20"/>
          <w:rtl w:val="0"/>
        </w:rPr>
        <w:t xml:space="preserve">. La Ley Federal para la Prevención e Identificación de Operaciones con Recursos de Procedencia Ilícita contiene </w:t>
      </w:r>
      <w:r w:rsidDel="00000000" w:rsidR="00000000" w:rsidRPr="00000000">
        <w:rPr>
          <w:rFonts w:ascii="Lucida Sans" w:cs="Lucida Sans" w:eastAsia="Lucida Sans" w:hAnsi="Lucida Sans"/>
          <w:b w:val="1"/>
          <w:bCs w:val="1"/>
          <w:i w:val="1"/>
          <w:iCs w:val="1"/>
          <w:color w:val="000000"/>
          <w:sz w:val="20"/>
          <w:szCs w:val="20"/>
          <w:rtl w:val="0"/>
        </w:rPr>
        <w:t xml:space="preserve">un entramado de obligaciones para sus distintos destinatarios, algunas de las cuales se actualizan desde la entrada en vigor de la ley, mientras que otras están sujetas a que se surta el supuesto normativo concreto</w:t>
      </w:r>
      <w:r w:rsidDel="00000000" w:rsidR="00000000" w:rsidRPr="00000000">
        <w:rPr>
          <w:rFonts w:ascii="Lucida Sans" w:cs="Lucida Sans" w:eastAsia="Lucida Sans" w:hAnsi="Lucida Sans"/>
          <w:i w:val="1"/>
          <w:iCs w:val="1"/>
          <w:color w:val="000000"/>
          <w:sz w:val="20"/>
          <w:szCs w:val="20"/>
          <w:rtl w:val="0"/>
        </w:rPr>
        <w:t xml:space="preserve">, con la finalidad sustancial de dotar a nuestro país de instrumentos suficientes para prevenir y detectar operaciones llevadas a cabo con recursos de procedencia ilícita o tendientes a financiar actos de terrorismo. En ese sentido, se sostiene que tal ordenamiento legal, </w:t>
      </w:r>
      <w:r w:rsidDel="00000000" w:rsidR="00000000" w:rsidRPr="00000000">
        <w:rPr>
          <w:rFonts w:ascii="Lucida Sans" w:cs="Lucida Sans" w:eastAsia="Lucida Sans" w:hAnsi="Lucida Sans"/>
          <w:b w:val="1"/>
          <w:bCs w:val="1"/>
          <w:i w:val="1"/>
          <w:iCs w:val="1"/>
          <w:color w:val="000000"/>
          <w:sz w:val="20"/>
          <w:szCs w:val="20"/>
          <w:u w:val="single"/>
          <w:rtl w:val="0"/>
        </w:rPr>
        <w:t xml:space="preserve">al constituir un sistema normativo complejo, debe analizarse como autoaplicativo en su integridad y, por ende, puede impugnarse desde su entrada en vigor</w:t>
      </w:r>
      <w:r w:rsidDel="00000000" w:rsidR="00000000" w:rsidRPr="00000000">
        <w:rPr>
          <w:rFonts w:ascii="Lucida Sans" w:cs="Lucida Sans" w:eastAsia="Lucida Sans" w:hAnsi="Lucida Sans"/>
          <w:i w:val="1"/>
          <w:iCs w:val="1"/>
          <w:color w:val="000000"/>
          <w:sz w:val="20"/>
          <w:szCs w:val="20"/>
          <w:rtl w:val="0"/>
        </w:rPr>
        <w:t xml:space="preserve">, siempre y cuando el gobernado acredite, mediante el material probatorio que estime conducente, que por la naturaleza de las actividades, conocimientos, servicios o giros comerciales a que se dedica, se encuentra sujeto a las obligaciones, prohibiciones o sanciones establecidas por dicho régimen jurídico especial”.</w:t>
      </w:r>
      <w:r w:rsidDel="00000000" w:rsidR="00000000" w:rsidRPr="00000000">
        <w:rPr>
          <w:rFonts w:ascii="Lucida Sans" w:cs="Lucida Sans" w:eastAsia="Lucida Sans" w:hAnsi="Lucida Sans"/>
          <w:i w:val="1"/>
          <w:iCs w:val="1"/>
          <w:color w:val="000000"/>
          <w:sz w:val="20"/>
          <w:szCs w:val="20"/>
          <w:vertAlign w:val="superscript"/>
        </w:rPr>
        <w:footnoteReference w:customMarkFollows="0" w:id="6"/>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5529"/>
        </w:tabs>
        <w:spacing w:line="240" w:lineRule="auto"/>
        <w:ind w:left="851" w:firstLine="0"/>
        <w:jc w:val="both"/>
        <w:rPr>
          <w:rFonts w:ascii="Lucida Sans" w:cs="Lucida Sans" w:eastAsia="Lucida Sans" w:hAnsi="Lucida Sans"/>
          <w:i w:val="1"/>
          <w:iCs w:val="1"/>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5529"/>
        </w:tabs>
        <w:spacing w:line="240" w:lineRule="auto"/>
        <w:ind w:left="851" w:firstLine="0"/>
        <w:jc w:val="both"/>
        <w:rPr>
          <w:rFonts w:ascii="Lucida Sans" w:cs="Lucida Sans" w:eastAsia="Lucida Sans" w:hAnsi="Lucida Sans"/>
          <w:i w:val="1"/>
          <w:iCs w:val="1"/>
          <w:color w:val="000000"/>
          <w:sz w:val="20"/>
          <w:szCs w:val="20"/>
        </w:rPr>
      </w:pPr>
      <w:r w:rsidDel="00000000" w:rsidR="00000000" w:rsidRPr="00000000">
        <w:rPr>
          <w:rFonts w:ascii="Lucida Sans" w:cs="Lucida Sans" w:eastAsia="Lucida Sans" w:hAnsi="Lucida Sans"/>
          <w:i w:val="1"/>
          <w:iCs w:val="1"/>
          <w:color w:val="000000"/>
          <w:sz w:val="20"/>
          <w:szCs w:val="20"/>
          <w:rtl w:val="0"/>
        </w:rPr>
        <w:t xml:space="preserve">“</w:t>
      </w:r>
      <w:r w:rsidDel="00000000" w:rsidR="00000000" w:rsidRPr="00000000">
        <w:rPr>
          <w:rFonts w:ascii="Lucida Sans" w:cs="Lucida Sans" w:eastAsia="Lucida Sans" w:hAnsi="Lucida Sans"/>
          <w:b w:val="1"/>
          <w:bCs w:val="1"/>
          <w:i w:val="1"/>
          <w:iCs w:val="1"/>
          <w:color w:val="000000"/>
          <w:sz w:val="20"/>
          <w:szCs w:val="20"/>
          <w:rtl w:val="0"/>
        </w:rPr>
        <w:t xml:space="preserve">MOVILIDAD SUSTENTABLE Y TRANSPORTE DEL ESTADO DE BAJA CALIFORNIA. LOS ARTÍCULOS 57, 65, 75, FRACCIÓN II, 77, FRACCIÓN III, INCISO A), 78, 79, 80, 88, 157, FRACCIONES III Y IV, 161, 178, FRACCIONES II Y XI, 190, FRACCIÓN III Y SIGUIENTES PÁRRAFOS, 193, 195, 196 Y 198 DE LA LEY RELATIVA, SON NORMAS DE NATURALEZA AUTOAPLICATIVA QUE CONSTITUYEN UN SISTEMA NORMATIVO COMPLEJO</w:t>
      </w:r>
      <w:r w:rsidDel="00000000" w:rsidR="00000000" w:rsidRPr="00000000">
        <w:rPr>
          <w:rFonts w:ascii="Lucida Sans" w:cs="Lucida Sans" w:eastAsia="Lucida Sans" w:hAnsi="Lucida Sans"/>
          <w:i w:val="1"/>
          <w:iCs w:val="1"/>
          <w:color w:val="000000"/>
          <w:sz w:val="20"/>
          <w:szCs w:val="20"/>
          <w:rtl w:val="0"/>
        </w:rPr>
        <w:t xml:space="preserve">. </w:t>
      </w:r>
      <w:r w:rsidDel="00000000" w:rsidR="00000000" w:rsidRPr="00000000">
        <w:rPr>
          <w:rFonts w:ascii="Lucida Sans" w:cs="Lucida Sans" w:eastAsia="Lucida Sans" w:hAnsi="Lucida Sans"/>
          <w:b w:val="1"/>
          <w:bCs w:val="1"/>
          <w:i w:val="1"/>
          <w:iCs w:val="1"/>
          <w:color w:val="000000"/>
          <w:sz w:val="20"/>
          <w:szCs w:val="20"/>
          <w:rtl w:val="0"/>
        </w:rPr>
        <w:t xml:space="preserve">Hechos</w:t>
      </w:r>
      <w:r w:rsidDel="00000000" w:rsidR="00000000" w:rsidRPr="00000000">
        <w:rPr>
          <w:rFonts w:ascii="Lucida Sans" w:cs="Lucida Sans" w:eastAsia="Lucida Sans" w:hAnsi="Lucida Sans"/>
          <w:i w:val="1"/>
          <w:iCs w:val="1"/>
          <w:color w:val="000000"/>
          <w:sz w:val="20"/>
          <w:szCs w:val="20"/>
          <w:rtl w:val="0"/>
        </w:rPr>
        <w:t xml:space="preserve">: Una persona promovió juicio de amparo indirecto contra los artículos 57, 65, 75, fracción II, 77, fracción III, inciso a), 78, 79, 80, 88, 157, fracciones III y IV, 161, 178, fracciones II y XI, 190, fracción III y siguientes párrafos, 193, 195, 196 y 198 de la Ley de Movilidad Sustentable y Transporte del Estado de Baja California, publicada en el Periódico Oficial local el 27 de marzo de 2020, entre otros. El Juez de Distrito sobreseyó en el juicio al considerar que son de naturaleza heteroaplicativa y que el quejoso no demostró acto de aplicación alguno.</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5529"/>
        </w:tabs>
        <w:spacing w:line="240" w:lineRule="auto"/>
        <w:ind w:left="851" w:firstLine="0"/>
        <w:jc w:val="both"/>
        <w:rPr>
          <w:rFonts w:ascii="Lucida Sans" w:cs="Lucida Sans" w:eastAsia="Lucida Sans" w:hAnsi="Lucida Sans"/>
          <w:i w:val="1"/>
          <w:iCs w:val="1"/>
          <w:color w:val="000000"/>
          <w:sz w:val="20"/>
          <w:szCs w:val="20"/>
        </w:rPr>
      </w:pPr>
      <w:r w:rsidDel="00000000" w:rsidR="00000000" w:rsidRPr="00000000">
        <w:rPr>
          <w:rFonts w:ascii="Lucida Sans" w:cs="Lucida Sans" w:eastAsia="Lucida Sans" w:hAnsi="Lucida Sans"/>
          <w:b w:val="1"/>
          <w:bCs w:val="1"/>
          <w:i w:val="1"/>
          <w:iCs w:val="1"/>
          <w:color w:val="000000"/>
          <w:sz w:val="20"/>
          <w:szCs w:val="20"/>
          <w:rtl w:val="0"/>
        </w:rPr>
        <w:t xml:space="preserve">Criterio jurídico</w:t>
      </w:r>
      <w:r w:rsidDel="00000000" w:rsidR="00000000" w:rsidRPr="00000000">
        <w:rPr>
          <w:rFonts w:ascii="Lucida Sans" w:cs="Lucida Sans" w:eastAsia="Lucida Sans" w:hAnsi="Lucida Sans"/>
          <w:i w:val="1"/>
          <w:iCs w:val="1"/>
          <w:color w:val="000000"/>
          <w:sz w:val="20"/>
          <w:szCs w:val="20"/>
          <w:rtl w:val="0"/>
        </w:rPr>
        <w:t xml:space="preserve">: Este Tribunal Colegiado de Circuito determina que </w:t>
      </w:r>
      <w:r w:rsidDel="00000000" w:rsidR="00000000" w:rsidRPr="00000000">
        <w:rPr>
          <w:rFonts w:ascii="Lucida Sans" w:cs="Lucida Sans" w:eastAsia="Lucida Sans" w:hAnsi="Lucida Sans"/>
          <w:b w:val="1"/>
          <w:bCs w:val="1"/>
          <w:i w:val="1"/>
          <w:iCs w:val="1"/>
          <w:color w:val="000000"/>
          <w:sz w:val="20"/>
          <w:szCs w:val="20"/>
          <w:rtl w:val="0"/>
        </w:rPr>
        <w:t xml:space="preserve">los preceptos referidos de la Ley de Movilidad Sustentable y Transporte del Estado de Baja California con su sola entrada en vigor irrogan agravio al quejoso al ser disposiciones de naturaleza autoaplicativa que forman parte de un sistema normativo complejo</w:t>
      </w:r>
      <w:r w:rsidDel="00000000" w:rsidR="00000000" w:rsidRPr="00000000">
        <w:rPr>
          <w:rFonts w:ascii="Lucida Sans" w:cs="Lucida Sans" w:eastAsia="Lucida Sans" w:hAnsi="Lucida Sans"/>
          <w:i w:val="1"/>
          <w:iCs w:val="1"/>
          <w:color w:val="000000"/>
          <w:sz w:val="20"/>
          <w:szCs w:val="20"/>
          <w:rtl w:val="0"/>
        </w:rPr>
        <w:t xml:space="preserve">.</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5529"/>
        </w:tabs>
        <w:spacing w:line="240" w:lineRule="auto"/>
        <w:ind w:left="851" w:firstLine="0"/>
        <w:jc w:val="both"/>
        <w:rPr>
          <w:rFonts w:ascii="Lucida Sans" w:cs="Lucida Sans" w:eastAsia="Lucida Sans" w:hAnsi="Lucida Sans"/>
          <w:i w:val="1"/>
          <w:iCs w:val="1"/>
          <w:color w:val="000000"/>
          <w:sz w:val="20"/>
          <w:szCs w:val="20"/>
        </w:rPr>
      </w:pPr>
      <w:r w:rsidDel="00000000" w:rsidR="00000000" w:rsidRPr="00000000">
        <w:rPr>
          <w:rFonts w:ascii="Lucida Sans" w:cs="Lucida Sans" w:eastAsia="Lucida Sans" w:hAnsi="Lucida Sans"/>
          <w:b w:val="1"/>
          <w:bCs w:val="1"/>
          <w:i w:val="1"/>
          <w:iCs w:val="1"/>
          <w:color w:val="000000"/>
          <w:sz w:val="20"/>
          <w:szCs w:val="20"/>
          <w:rtl w:val="0"/>
        </w:rPr>
        <w:t xml:space="preserve">Justificación</w:t>
      </w:r>
      <w:r w:rsidDel="00000000" w:rsidR="00000000" w:rsidRPr="00000000">
        <w:rPr>
          <w:rFonts w:ascii="Lucida Sans" w:cs="Lucida Sans" w:eastAsia="Lucida Sans" w:hAnsi="Lucida Sans"/>
          <w:i w:val="1"/>
          <w:iCs w:val="1"/>
          <w:color w:val="000000"/>
          <w:sz w:val="20"/>
          <w:szCs w:val="20"/>
          <w:rtl w:val="0"/>
        </w:rPr>
        <w:t xml:space="preserve">: Lo anterior, porque el Pleno y la Segunda Sala de la Suprema Corte de Justicia de la Nación, a través de las tesis de jurisprudencia P./J. 121/99, P./J. 90/2006, 2a./J. 100/2008, 2a./J. 162/2015 (10a.) y 2a./J. 91/2018 (10a.), respectivamente, así como de sus ejecutorias, ha construido un marco jurisprudencial en torno a la posibilidad de impugnar diversas disposiciones como sistema normativo. Ahora bien, de los preceptos reclamados se extrae que </w:t>
      </w:r>
      <w:r w:rsidDel="00000000" w:rsidR="00000000" w:rsidRPr="00000000">
        <w:rPr>
          <w:rFonts w:ascii="Lucida Sans" w:cs="Lucida Sans" w:eastAsia="Lucida Sans" w:hAnsi="Lucida Sans"/>
          <w:b w:val="1"/>
          <w:bCs w:val="1"/>
          <w:i w:val="1"/>
          <w:iCs w:val="1"/>
          <w:color w:val="000000"/>
          <w:sz w:val="20"/>
          <w:szCs w:val="20"/>
          <w:rtl w:val="0"/>
        </w:rPr>
        <w:t xml:space="preserve">contienen un entramado de obligaciones para sus distintos destinatarios, constituyendo un sistema normativo complejo</w:t>
      </w:r>
      <w:r w:rsidDel="00000000" w:rsidR="00000000" w:rsidRPr="00000000">
        <w:rPr>
          <w:rFonts w:ascii="Lucida Sans" w:cs="Lucida Sans" w:eastAsia="Lucida Sans" w:hAnsi="Lucida Sans"/>
          <w:i w:val="1"/>
          <w:iCs w:val="1"/>
          <w:color w:val="000000"/>
          <w:sz w:val="20"/>
          <w:szCs w:val="20"/>
          <w:rtl w:val="0"/>
        </w:rPr>
        <w:t xml:space="preserve"> que debe analizarse como autoaplicativo en su integridad, con la condicionante de demostrar que el quejoso es destinatario de las normas, sujeto a sus obligaciones, prohibiciones o sanciones, ya que en su conjunto regulan que los transportistas de carga públicos y privados que circulen por vías de jurisdicción estatal y municipal de Baja California, deben cumplir con un empadronamiento, registros y licencias ante el Instituto de Movilidad Sustentable de dicho Estado; en consecuencia, basta que el solicitante de la tutela constitucional demuestre que se dedica al transporte de carga en el Estado referido para evidenciar que es destinatario de las normas, porque de tal forma tiene la obligación de cumplir las especificaciones de peso, dimensiones y capacidad de los vehículos de transporte de carga pesada, y la prohibición de transitar por las citadas vías si no se empadrona (registra) ante el citado instituto, lo que pone de relieve que dichos preceptos se relacionan entre sí, por lo que se descarta la idea de que requieren un acto concreto de aplicación para ser impugnables en el juicio de amparo indirecto”.</w:t>
      </w:r>
      <w:r w:rsidDel="00000000" w:rsidR="00000000" w:rsidRPr="00000000">
        <w:rPr>
          <w:rFonts w:ascii="Lucida Sans" w:cs="Lucida Sans" w:eastAsia="Lucida Sans" w:hAnsi="Lucida Sans"/>
          <w:i w:val="1"/>
          <w:iCs w:val="1"/>
          <w:color w:val="000000"/>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b w:val="1"/>
          <w:bCs w:val="1"/>
          <w:color w:val="000000"/>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Como se advierte de los anteriores criterios, el Poder Judicial ha determinado, reiteradamente, que cuando se trata de sistemas normativos complejos, estos pueden ser impugnados en su totalidad como normas autoaplicativas. Ello no depende de la cantidad de artículos reformados, como se advierte del último criterio, en el cual se consideró que la reforma a cinco artículos constituía un sistema normativo complejo. </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En ese sentido, como ya se ha demostrado, el Decreto que se impugna mediante la presente demanda también constituye un sistema normativo complejo, por lo cual puede ser impugnado en su totalidad como autoaplicativo. </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Ahora bien, como ya se ha dicho, la metodología para determinar si una norma general puede considerarse como autoaplicativa depende de un análisis similar al que debe realizarse para determinar si la parte quejosa cuenta con interés legítimo. Así, como se mostró en el apartado anterior, nuestros tribunales colegiados han señalado que es necesario: </w:t>
      </w:r>
      <w:r w:rsidDel="00000000" w:rsidR="00000000" w:rsidRPr="00000000">
        <w:rPr>
          <w:rFonts w:ascii="Lucida Sans" w:cs="Lucida Sans" w:eastAsia="Lucida Sans" w:hAnsi="Lucida Sans"/>
          <w:b w:val="1"/>
          <w:bCs w:val="1"/>
          <w:color w:val="000000"/>
          <w:sz w:val="24"/>
          <w:szCs w:val="24"/>
          <w:rtl w:val="0"/>
        </w:rPr>
        <w:t xml:space="preserve">1)</w:t>
      </w:r>
      <w:r w:rsidDel="00000000" w:rsidR="00000000" w:rsidRPr="00000000">
        <w:rPr>
          <w:rFonts w:ascii="Lucida Sans" w:cs="Lucida Sans" w:eastAsia="Lucida Sans" w:hAnsi="Lucida Sans"/>
          <w:color w:val="000000"/>
          <w:sz w:val="24"/>
          <w:szCs w:val="24"/>
          <w:rtl w:val="0"/>
        </w:rPr>
        <w:t xml:space="preserve"> identificar el tipo de derecho y la calidad con la que se defiende la parte quejosa; </w:t>
      </w:r>
      <w:r w:rsidDel="00000000" w:rsidR="00000000" w:rsidRPr="00000000">
        <w:rPr>
          <w:rFonts w:ascii="Lucida Sans" w:cs="Lucida Sans" w:eastAsia="Lucida Sans" w:hAnsi="Lucida Sans"/>
          <w:b w:val="1"/>
          <w:bCs w:val="1"/>
          <w:color w:val="000000"/>
          <w:sz w:val="24"/>
          <w:szCs w:val="24"/>
          <w:rtl w:val="0"/>
        </w:rPr>
        <w:t xml:space="preserve">2)</w:t>
      </w:r>
      <w:r w:rsidDel="00000000" w:rsidR="00000000" w:rsidRPr="00000000">
        <w:rPr>
          <w:rFonts w:ascii="Lucida Sans" w:cs="Lucida Sans" w:eastAsia="Lucida Sans" w:hAnsi="Lucida Sans"/>
          <w:color w:val="000000"/>
          <w:sz w:val="24"/>
          <w:szCs w:val="24"/>
          <w:rtl w:val="0"/>
        </w:rPr>
        <w:t xml:space="preserve"> si se trata de un derecho objetivo tutelado por el ordenamiento jurídico; </w:t>
      </w:r>
      <w:r w:rsidDel="00000000" w:rsidR="00000000" w:rsidRPr="00000000">
        <w:rPr>
          <w:rFonts w:ascii="Lucida Sans" w:cs="Lucida Sans" w:eastAsia="Lucida Sans" w:hAnsi="Lucida Sans"/>
          <w:b w:val="1"/>
          <w:bCs w:val="1"/>
          <w:color w:val="000000"/>
          <w:sz w:val="24"/>
          <w:szCs w:val="24"/>
          <w:rtl w:val="0"/>
        </w:rPr>
        <w:t xml:space="preserve">3)</w:t>
      </w:r>
      <w:r w:rsidDel="00000000" w:rsidR="00000000" w:rsidRPr="00000000">
        <w:rPr>
          <w:rFonts w:ascii="Lucida Sans" w:cs="Lucida Sans" w:eastAsia="Lucida Sans" w:hAnsi="Lucida Sans"/>
          <w:color w:val="000000"/>
          <w:sz w:val="24"/>
          <w:szCs w:val="24"/>
          <w:rtl w:val="0"/>
        </w:rPr>
        <w:t xml:space="preserve"> la gradualidad de la posible afectación y, </w:t>
      </w:r>
      <w:r w:rsidDel="00000000" w:rsidR="00000000" w:rsidRPr="00000000">
        <w:rPr>
          <w:rFonts w:ascii="Lucida Sans" w:cs="Lucida Sans" w:eastAsia="Lucida Sans" w:hAnsi="Lucida Sans"/>
          <w:b w:val="1"/>
          <w:bCs w:val="1"/>
          <w:color w:val="000000"/>
          <w:sz w:val="24"/>
          <w:szCs w:val="24"/>
          <w:rtl w:val="0"/>
        </w:rPr>
        <w:t xml:space="preserve">4)</w:t>
      </w:r>
      <w:r w:rsidDel="00000000" w:rsidR="00000000" w:rsidRPr="00000000">
        <w:rPr>
          <w:rFonts w:ascii="Lucida Sans" w:cs="Lucida Sans" w:eastAsia="Lucida Sans" w:hAnsi="Lucida Sans"/>
          <w:color w:val="000000"/>
          <w:sz w:val="24"/>
          <w:szCs w:val="24"/>
          <w:rtl w:val="0"/>
        </w:rPr>
        <w:t xml:space="preserve"> en función de ello, los elementos probatorios aportados por la parte quejosa. </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En otras palabras, es necesario analizar si se actualiza el interés legítimo de la parte quejosa. Como se mostrará en el siguiente apartado, todos estos elementos se acreditan, pues la parte quejosa sufre una afectación diferenciada, actual, real y jurídicamente relevante, en derechos objetivos tutelados por el ordenamiento jurídico, por la sola entrada en vigor de las normas reclamadas. Ello, ya que se menoscaban las garantías de la seguridad jurídica y legalidad, particularmente la de retroactividad en perjuicio, como consecuencia de todo ello, en detrimento de los derechos adquiridos en torno al patrimonio construido bajo el criterio a la confianza legítima. </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529"/>
        </w:tabs>
        <w:spacing w:after="0" w:before="0" w:line="240" w:lineRule="auto"/>
        <w:ind w:left="720" w:right="0" w:hanging="360"/>
        <w:jc w:val="both"/>
        <w:rPr>
          <w:rFonts w:ascii="Lucida Sans" w:cs="Lucida Sans" w:eastAsia="Lucida Sans" w:hAnsi="Lucida Sans"/>
          <w:b w:val="1"/>
          <w:bCs w:val="1"/>
          <w:i w:val="0"/>
          <w:iCs w:val="0"/>
          <w:smallCaps w:val="0"/>
          <w:strike w:val="0"/>
          <w:color w:val="000000"/>
          <w:sz w:val="24"/>
          <w:szCs w:val="24"/>
          <w:u w:val="singl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single"/>
          <w:shd w:fill="auto" w:val="clear"/>
          <w:vertAlign w:val="baseline"/>
          <w:rtl w:val="0"/>
        </w:rPr>
        <w:t xml:space="preserve">Interés legítimo</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 </w:t>
      </w:r>
    </w:p>
    <w:p w:rsidR="00000000" w:rsidDel="00000000" w:rsidP="00000000" w:rsidRDefault="00000000" w:rsidRPr="00000000" w14:paraId="000000C8">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De acuerdo con lo anteriormente expuesto, la Suprema Corte ha entendido que, para que exista interés legítimo, se requieren de los siguientes elementos: a) exista una norma constitucional en la que se establezca o tutele algún interés difuso en beneficio de una colectividad determinada, b) el acto reclamado transgreda ese interés difuso, ya sea de manera individual o colectiva; y, c) el promovente pertenezca a esa colectividad. </w:t>
      </w:r>
    </w:p>
    <w:p w:rsidR="00000000" w:rsidDel="00000000" w:rsidP="00000000" w:rsidRDefault="00000000" w:rsidRPr="00000000" w14:paraId="000000C9">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20"/>
          <w:tab w:val="left" w:leader="none" w:pos="6975"/>
        </w:tabs>
        <w:spacing w:after="0" w:before="0" w:line="240" w:lineRule="auto"/>
        <w:ind w:left="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Los derechos humanos que se estiman violentados son los derechos de acceso al agua, a la seguridad jurídica, a la legalidad y la aplicación retroactiva en perjuicio por derechos adquiridos. Dichos derechos humanos, deben de ser considerados difusos. </w:t>
      </w:r>
    </w:p>
    <w:p w:rsidR="00000000" w:rsidDel="00000000" w:rsidP="00000000" w:rsidRDefault="00000000" w:rsidRPr="00000000" w14:paraId="000000CB">
      <w:pPr>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CC">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En el caso, los actos reclamados contravienen el derecho a la seguridad jurídica y legalidad debido a que la norma contiene efectos retroactivos que violentan el estado de las cosas relativo a las concesiones y asignaciones de la parte quejosa al establecer que los derechos amparados en las concesiones y asignaciones no serán objeto de transmisión y que la reasignación solo podrá realizarse previo análisis y autorización de la “Autoridad del Agua” mediante un nuevo título de concesión o asignación.</w:t>
      </w:r>
    </w:p>
    <w:p w:rsidR="00000000" w:rsidDel="00000000" w:rsidP="00000000" w:rsidRDefault="00000000" w:rsidRPr="00000000" w14:paraId="000000CD">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CE">
      <w:pPr>
        <w:spacing w:line="240" w:lineRule="auto"/>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sz w:val="24"/>
          <w:szCs w:val="24"/>
          <w:rtl w:val="0"/>
        </w:rPr>
        <w:t xml:space="preserve">En ese orden de ideas, la parte quejosa cuenta con el interés necesario para acudir al presente juicio, debido a la posición especial que encuentran con el resto de la sociedad. </w:t>
      </w:r>
      <w:r w:rsidDel="00000000" w:rsidR="00000000" w:rsidRPr="00000000">
        <w:rPr>
          <w:rtl w:val="0"/>
        </w:rPr>
      </w:r>
    </w:p>
    <w:p w:rsidR="00000000" w:rsidDel="00000000" w:rsidP="00000000" w:rsidRDefault="00000000" w:rsidRPr="00000000" w14:paraId="000000CF">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D0">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De manera específica la parte quejosa, es parte de las personas titulares de una concesión o una asignación y se encuentra interesada en que el uso, aprovechamiento, transmisión, inclusive en los casos de transmisión de dominio de tierras vinculadas con un título de concesión, es decir, se trata de una afectación al</w:t>
      </w:r>
      <w:r w:rsidDel="00000000" w:rsidR="00000000" w:rsidRPr="00000000">
        <w:rPr>
          <w:rFonts w:ascii="Lucida Sans" w:cs="Lucida Sans" w:eastAsia="Lucida Sans" w:hAnsi="Lucida Sans"/>
          <w:b w:val="1"/>
          <w:bCs w:val="1"/>
          <w:sz w:val="24"/>
          <w:szCs w:val="24"/>
          <w:rtl w:val="0"/>
        </w:rPr>
        <w:t xml:space="preserve"> </w:t>
      </w:r>
      <w:r w:rsidDel="00000000" w:rsidR="00000000" w:rsidRPr="00000000">
        <w:rPr>
          <w:rFonts w:ascii="Lucida Sans" w:cs="Lucida Sans" w:eastAsia="Lucida Sans" w:hAnsi="Lucida Sans"/>
          <w:sz w:val="24"/>
          <w:szCs w:val="24"/>
          <w:rtl w:val="0"/>
        </w:rPr>
        <w:t xml:space="preserve">patrimonio construido por parte de cada persona que integra este amplio sector sea intocable, como parte del patrimonio individual. </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Por lo tanto, es claro que la quejosa persona física cuenta con el interés necesario para acudir al presente juicio de amparo. </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Expuesto lo anterior, resulta claro que la quejosa cuenta con el interés legítimo para acudir al presente juicio. </w:t>
      </w:r>
    </w:p>
    <w:p w:rsidR="00000000" w:rsidDel="00000000" w:rsidP="00000000" w:rsidRDefault="00000000" w:rsidRPr="00000000" w14:paraId="000000D5">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0D6">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IX. CUESTIÓN PREVIA</w:t>
      </w:r>
    </w:p>
    <w:p w:rsidR="00000000" w:rsidDel="00000000" w:rsidP="00000000" w:rsidRDefault="00000000" w:rsidRPr="00000000" w14:paraId="000000D7">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D8">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Para contextualizar la solicitud de amparo y protección de la justicia federal en el presente juicio, es necesario partir de establecer los siguientes elementos contenidos en Decreto que se impugna, relativa a la Ley de Aguas Nacionale</w:t>
      </w:r>
      <w:r w:rsidDel="00000000" w:rsidR="00000000" w:rsidRPr="00000000">
        <w:rPr>
          <w:rFonts w:ascii="Lucida Sans" w:cs="Lucida Sans" w:eastAsia="Lucida Sans" w:hAnsi="Lucida Sans"/>
          <w:rtl w:val="0"/>
        </w:rPr>
        <w:t xml:space="preserve">s</w:t>
      </w:r>
      <w:r w:rsidDel="00000000" w:rsidR="00000000" w:rsidRPr="00000000">
        <w:rPr>
          <w:rFonts w:ascii="Lucida Sans" w:cs="Lucida Sans" w:eastAsia="Lucida Sans" w:hAnsi="Lucida Sans"/>
          <w:b w:val="1"/>
          <w:bCs w:val="1"/>
          <w:rtl w:val="0"/>
        </w:rPr>
        <w:t xml:space="preserve">.</w:t>
      </w:r>
      <w:r w:rsidDel="00000000" w:rsidR="00000000" w:rsidRPr="00000000">
        <w:rPr>
          <w:rtl w:val="0"/>
        </w:rPr>
      </w:r>
    </w:p>
    <w:p w:rsidR="00000000" w:rsidDel="00000000" w:rsidP="00000000" w:rsidRDefault="00000000" w:rsidRPr="00000000" w14:paraId="000000D9">
      <w:pPr>
        <w:spacing w:line="240" w:lineRule="auto"/>
        <w:jc w:val="both"/>
        <w:rPr>
          <w:rFonts w:ascii="Lucida Sans" w:cs="Lucida Sans" w:eastAsia="Lucida Sans" w:hAnsi="Lucida Sans"/>
          <w:sz w:val="24"/>
          <w:szCs w:val="24"/>
          <w:highlight w:val="yellow"/>
        </w:rPr>
      </w:pPr>
      <w:r w:rsidDel="00000000" w:rsidR="00000000" w:rsidRPr="00000000">
        <w:rPr>
          <w:rtl w:val="0"/>
        </w:rPr>
      </w:r>
    </w:p>
    <w:p w:rsidR="00000000" w:rsidDel="00000000" w:rsidP="00000000" w:rsidRDefault="00000000" w:rsidRPr="00000000" w14:paraId="000000DA">
      <w:pPr>
        <w:widowControl w:val="0"/>
        <w:tabs>
          <w:tab w:val="left" w:leader="none" w:pos="1339"/>
        </w:tabs>
        <w:spacing w:line="240" w:lineRule="auto"/>
        <w:ind w:right="261"/>
        <w:jc w:val="both"/>
        <w:rPr>
          <w:rFonts w:ascii="Lucida Sans" w:cs="Lucida Sans" w:eastAsia="Lucida Sans" w:hAnsi="Lucida Sans"/>
          <w:sz w:val="24"/>
          <w:szCs w:val="24"/>
        </w:rPr>
      </w:pPr>
      <w:r w:rsidDel="00000000" w:rsidR="00000000" w:rsidRPr="00000000">
        <w:rPr>
          <w:rFonts w:ascii="Lucida Sans" w:cs="Lucida Sans" w:eastAsia="Lucida Sans" w:hAnsi="Lucida Sans"/>
          <w:b w:val="1"/>
          <w:bCs w:val="1"/>
          <w:sz w:val="24"/>
          <w:szCs w:val="24"/>
          <w:rtl w:val="0"/>
        </w:rPr>
        <w:t xml:space="preserve">A</w:t>
      </w:r>
      <w:r w:rsidDel="00000000" w:rsidR="00000000" w:rsidRPr="00000000">
        <w:rPr>
          <w:rFonts w:ascii="Lucida Sans" w:cs="Lucida Sans" w:eastAsia="Lucida Sans" w:hAnsi="Lucida Sans"/>
          <w:sz w:val="24"/>
          <w:szCs w:val="24"/>
          <w:rtl w:val="0"/>
        </w:rPr>
        <w:t xml:space="preserve">. La ley impugnada introdujo, a través de la reforma que se cuestiona, una serie de contradicciones y restricciones respecto a la transmisión de concesiones de agua entre particulares. En efecto, se derogaron los artículos 23, Bis, 30 fracción IV, 33, 34, 35, 36, 37 y 51 fracción VI de la Ley de Aguas Nacionales que permitían y regulaban la cesión o transferencia de títulos y añade disposiciones de prohibición expresa sobre la transmisión de derechos amparados en concesiones y asignaciones (artículo 22, segundo párrafo, 23 bis), lo que genera una afectación directa a los derechos previamente adquiridos.</w:t>
      </w:r>
    </w:p>
    <w:p w:rsidR="00000000" w:rsidDel="00000000" w:rsidP="00000000" w:rsidRDefault="00000000" w:rsidRPr="00000000" w14:paraId="000000DB">
      <w:pPr>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Sin embargo, las modificaciones a la ley que se impugna establece, además de las excepciones ya existentes en los artículos 55, 56 y 57 relacionadas con personas ejidatarias y comuneras, las excepciones de los artículos 37 Bis 1 y 37 Bis 2 y especialmente las relacionadas con el artículo 49.</w:t>
      </w:r>
    </w:p>
    <w:p w:rsidR="00000000" w:rsidDel="00000000" w:rsidP="00000000" w:rsidRDefault="00000000" w:rsidRPr="00000000" w14:paraId="000000DD">
      <w:pPr>
        <w:spacing w:line="240" w:lineRule="auto"/>
        <w:ind w:right="257"/>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 decir, en la nueva norma se introdujo la coexistencia, por un lado, del artículo 22 que se establece que los derechos amparados en las concesiones y asignaciones no serán objeto de transmisión y que la reasignación solo podrá realizarse previo análisis y autorización de la Autoridad del Agua mediante un nuevo título de concesión o asignación. Y por el otro, los artículos 37 Bis y 37 Bis 2, así como el artículo 49 en los que se busca volver a unir la posesión de la tierra a la concesión de aguas. Se contempla ahora que, en los casos de transmisión de dominio de tierras vinculadas con un título de concesión, la nueva persona propietaria conservará los derechos de explotación, uso o aprovechamiento en un nuevo título de concesión que la Autoridad del Agua amita para el mismo uso (tomando en cuenta que las actividades de uso agrícola y pecuario serán consideradas como un mismo uso). Generando un nuevo régimen que afecta en perjuicio de manera retroactiva a los derechos que previamente se había adquirido, lo que genera una afectación a la seguridad jurídica sobre el uso y transmisión. </w:t>
      </w:r>
    </w:p>
    <w:p w:rsidR="00000000" w:rsidDel="00000000" w:rsidP="00000000" w:rsidRDefault="00000000" w:rsidRPr="00000000" w14:paraId="000000DE">
      <w:pPr>
        <w:spacing w:line="240" w:lineRule="auto"/>
        <w:ind w:right="258"/>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DF">
      <w:pPr>
        <w:spacing w:line="240" w:lineRule="auto"/>
        <w:ind w:right="258"/>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reasignación de volúmenes en un plazo que no exceda los 20 días hábiles y la emisión de un nuevo título de concesión en favor de un nuevo titular procederá en los siguientes supuestos:</w:t>
      </w:r>
    </w:p>
    <w:p w:rsidR="00000000" w:rsidDel="00000000" w:rsidP="00000000" w:rsidRDefault="00000000" w:rsidRPr="00000000" w14:paraId="000000E0">
      <w:pPr>
        <w:spacing w:before="1" w:lineRule="auto"/>
        <w:ind w:right="258"/>
        <w:jc w:val="both"/>
        <w:rPr>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1" w:line="240" w:lineRule="auto"/>
        <w:ind w:left="1339" w:right="258" w:hanging="285.99999999999994"/>
        <w:jc w:val="both"/>
        <w:rPr>
          <w:rFonts w:ascii="Lucida Sans" w:cs="Lucida Sans" w:eastAsia="Lucida Sans" w:hAnsi="Lucida Sans"/>
          <w:b w:val="1"/>
          <w:bCs w:val="1"/>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Cuando se transmita el dominio de una propiedad asociada a un título de concesión.</w:t>
      </w: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39" w:right="258" w:firstLine="0"/>
        <w:jc w:val="both"/>
        <w:rPr>
          <w:rFonts w:ascii="Lucida Sans" w:cs="Lucida Sans" w:eastAsia="Lucida Sans" w:hAnsi="Lucida Sans"/>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339" w:right="258" w:hanging="285.99999999999994"/>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En casos de fusión y escisión de sociedades civiles o mercantiles y:</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 w:lineRule="auto"/>
        <w:ind w:left="0" w:right="0" w:firstLine="0"/>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94" w:lineRule="auto"/>
        <w:ind w:left="1339" w:right="0" w:hanging="285.99999999999994"/>
        <w:jc w:val="left"/>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En casos donde se acrediten derechos sucesorios.</w:t>
      </w:r>
    </w:p>
    <w:p w:rsidR="00000000" w:rsidDel="00000000" w:rsidP="00000000" w:rsidRDefault="00000000" w:rsidRPr="00000000" w14:paraId="000000E6">
      <w:pPr>
        <w:spacing w:before="2" w:lineRule="auto"/>
        <w:rPr>
          <w:sz w:val="24"/>
          <w:szCs w:val="24"/>
        </w:rPr>
      </w:pPr>
      <w:r w:rsidDel="00000000" w:rsidR="00000000" w:rsidRPr="00000000">
        <w:rPr>
          <w:rtl w:val="0"/>
        </w:rPr>
      </w:r>
    </w:p>
    <w:p w:rsidR="00000000" w:rsidDel="00000000" w:rsidP="00000000" w:rsidRDefault="00000000" w:rsidRPr="00000000" w14:paraId="000000E7">
      <w:pPr>
        <w:spacing w:line="240" w:lineRule="auto"/>
        <w:ind w:right="260"/>
        <w:jc w:val="both"/>
        <w:rPr>
          <w:rFonts w:ascii="Lucida Sans" w:cs="Lucida Sans" w:eastAsia="Lucida Sans" w:hAnsi="Lucida Sans"/>
          <w:sz w:val="24"/>
          <w:szCs w:val="24"/>
        </w:rPr>
      </w:pPr>
      <w:bookmarkStart w:colFirst="0" w:colLast="0" w:name="_heading=h.wfaoldxwd629" w:id="0"/>
      <w:bookmarkEnd w:id="0"/>
      <w:r w:rsidDel="00000000" w:rsidR="00000000" w:rsidRPr="00000000">
        <w:rPr>
          <w:rFonts w:ascii="Lucida Sans" w:cs="Lucida Sans" w:eastAsia="Lucida Sans" w:hAnsi="Lucida Sans"/>
          <w:sz w:val="24"/>
          <w:szCs w:val="24"/>
          <w:rtl w:val="0"/>
        </w:rPr>
        <w:t xml:space="preserve">En la reasignación de volúmenes de casos provenientes de la extinción de títulos de concesión o asignación para la explotación, uso o aprovechamiento de aguas nacionales o los que deriven de la cesión de volúmenes en favor de la Autoridad del Agua, la autoridad deberá cumplir dos requisitos: </w:t>
      </w:r>
      <w:r w:rsidDel="00000000" w:rsidR="00000000" w:rsidRPr="00000000">
        <w:rPr>
          <w:rFonts w:ascii="Lucida Sans" w:cs="Lucida Sans" w:eastAsia="Lucida Sans" w:hAnsi="Lucida Sans"/>
          <w:b w:val="1"/>
          <w:bCs w:val="1"/>
          <w:sz w:val="24"/>
          <w:szCs w:val="24"/>
          <w:rtl w:val="0"/>
        </w:rPr>
        <w:t xml:space="preserve">1</w:t>
      </w:r>
      <w:r w:rsidDel="00000000" w:rsidR="00000000" w:rsidRPr="00000000">
        <w:rPr>
          <w:rFonts w:ascii="Lucida Sans" w:cs="Lucida Sans" w:eastAsia="Lucida Sans" w:hAnsi="Lucida Sans"/>
          <w:sz w:val="24"/>
          <w:szCs w:val="24"/>
          <w:rtl w:val="0"/>
        </w:rPr>
        <w:t xml:space="preserve">. Privilegiar aquellos usos que beneficien al derecho humano al agua, la seguridad alimentaria y el desarrollo nacional y </w:t>
      </w:r>
      <w:r w:rsidDel="00000000" w:rsidR="00000000" w:rsidRPr="00000000">
        <w:rPr>
          <w:rFonts w:ascii="Lucida Sans" w:cs="Lucida Sans" w:eastAsia="Lucida Sans" w:hAnsi="Lucida Sans"/>
          <w:b w:val="1"/>
          <w:bCs w:val="1"/>
          <w:sz w:val="24"/>
          <w:szCs w:val="24"/>
          <w:rtl w:val="0"/>
        </w:rPr>
        <w:t xml:space="preserve">2</w:t>
      </w:r>
      <w:r w:rsidDel="00000000" w:rsidR="00000000" w:rsidRPr="00000000">
        <w:rPr>
          <w:rFonts w:ascii="Lucida Sans" w:cs="Lucida Sans" w:eastAsia="Lucida Sans" w:hAnsi="Lucida Sans"/>
          <w:sz w:val="24"/>
          <w:szCs w:val="24"/>
          <w:rtl w:val="0"/>
        </w:rPr>
        <w:t xml:space="preserve">. Someter su análisis y autorización al Comité del fondo de reserva de aguas nacionales integrado por las Secretarías de Medio Ambiente, Bienestar, Economía, Hacienda y Crédito Público, Agricultura y Desarrollo Rural (presidido por el titular de la CONAGUA).</w:t>
      </w:r>
    </w:p>
    <w:p w:rsidR="00000000" w:rsidDel="00000000" w:rsidP="00000000" w:rsidRDefault="00000000" w:rsidRPr="00000000" w14:paraId="000000E8">
      <w:pPr>
        <w:spacing w:line="240" w:lineRule="auto"/>
        <w:ind w:right="259"/>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E9">
      <w:pPr>
        <w:spacing w:line="240" w:lineRule="auto"/>
        <w:ind w:right="259"/>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ese sentido, es mantienen dudas razonables sobre si estas modificaciones, y especialmente el hecho de no modificar el resto de los artículos que prohíben la cesión o transferencia de títulos y la prohibición expresa de la transmisión de derechos, contribuirán de manera suficiente a construir un marco normativo con más certidumbre, impedir la reducción del valor de predios agrícolas e industriales al no poder garantizar automáticamente y en todos los casos la transmisión de concesiones y asignaciones, la dificultad para vender o financiar negocios dependientes de ello y especialmente la concentración de poder y control en la Autoridad del Agua afectando la libre competencia. </w:t>
      </w:r>
    </w:p>
    <w:p w:rsidR="00000000" w:rsidDel="00000000" w:rsidP="00000000" w:rsidRDefault="00000000" w:rsidRPr="00000000" w14:paraId="000000EA">
      <w:pPr>
        <w:spacing w:line="240" w:lineRule="auto"/>
        <w:ind w:right="259"/>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EB">
      <w:pPr>
        <w:spacing w:line="240" w:lineRule="auto"/>
        <w:ind w:right="259"/>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Todo lo anterior, genera una afectación real a la garantía de seguridad jurídica, causando incertidumbre frente a cualquier acto de autoridad frente a la esfera jurídica y del patrimonio como agricultores. </w:t>
      </w:r>
    </w:p>
    <w:p w:rsidR="00000000" w:rsidDel="00000000" w:rsidP="00000000" w:rsidRDefault="00000000" w:rsidRPr="00000000" w14:paraId="000000EC">
      <w:pPr>
        <w:widowControl w:val="0"/>
        <w:tabs>
          <w:tab w:val="left" w:leader="none" w:pos="1339"/>
        </w:tabs>
        <w:ind w:right="258"/>
        <w:jc w:val="both"/>
        <w:rPr>
          <w:b w:val="1"/>
          <w:bCs w:val="1"/>
        </w:rPr>
      </w:pPr>
      <w:r w:rsidDel="00000000" w:rsidR="00000000" w:rsidRPr="00000000">
        <w:rPr>
          <w:rtl w:val="0"/>
        </w:rPr>
      </w:r>
    </w:p>
    <w:p w:rsidR="00000000" w:rsidDel="00000000" w:rsidP="00000000" w:rsidRDefault="00000000" w:rsidRPr="00000000" w14:paraId="000000ED">
      <w:pPr>
        <w:widowControl w:val="0"/>
        <w:tabs>
          <w:tab w:val="left" w:leader="none" w:pos="1339"/>
        </w:tabs>
        <w:spacing w:line="240" w:lineRule="auto"/>
        <w:ind w:right="258"/>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B. Restricciones injustificadas a concesiones y asignaciones. Se dispone la posibilidad de extinción de concesión o asignación y cesión temporal de derechos a la “Autoridad del Agua” en circunstancias tales como: la atención de sequías, sobreexplotación grave, estados similares de necesidad o urgencia o para “garantizar la seguridad hídrica” (artículo 29 Bis 3 numeral 4) o bien por muerte del titular debiéndose comprobar algún derecho sucesorio ante la Autoridad del Agua para emitir un nuevo título (artículo 29 Bis 3)</w:t>
      </w:r>
      <w:r w:rsidDel="00000000" w:rsidR="00000000" w:rsidRPr="00000000">
        <w:rPr>
          <w:rFonts w:ascii="Lucida Sans" w:cs="Lucida Sans" w:eastAsia="Lucida Sans" w:hAnsi="Lucida Sans"/>
          <w:sz w:val="24"/>
          <w:szCs w:val="24"/>
          <w:vertAlign w:val="superscript"/>
        </w:rPr>
        <w:footnoteReference w:customMarkFollows="0" w:id="8"/>
      </w:r>
      <w:r w:rsidDel="00000000" w:rsidR="00000000" w:rsidRPr="00000000">
        <w:rPr>
          <w:rFonts w:ascii="Lucida Sans" w:cs="Lucida Sans" w:eastAsia="Lucida Sans" w:hAnsi="Lucida Sans"/>
          <w:sz w:val="24"/>
          <w:szCs w:val="24"/>
          <w:rtl w:val="0"/>
        </w:rPr>
        <w:t xml:space="preserve">, las concesiones o asignaciones deberán revisarse cada dos años y ya no cada tres años (artículo 22 primer párrafo).</w:t>
      </w:r>
    </w:p>
    <w:p w:rsidR="00000000" w:rsidDel="00000000" w:rsidP="00000000" w:rsidRDefault="00000000" w:rsidRPr="00000000" w14:paraId="000000EE">
      <w:pPr>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0EF">
      <w:pPr>
        <w:spacing w:line="240" w:lineRule="auto"/>
        <w:jc w:val="both"/>
        <w:rPr>
          <w:b w:val="1"/>
          <w:bCs w:val="1"/>
          <w:sz w:val="20"/>
          <w:szCs w:val="20"/>
        </w:rPr>
      </w:pPr>
      <w:r w:rsidDel="00000000" w:rsidR="00000000" w:rsidRPr="00000000">
        <w:rPr>
          <w:rFonts w:ascii="Lucida Sans" w:cs="Lucida Sans" w:eastAsia="Lucida Sans" w:hAnsi="Lucida Sans"/>
          <w:sz w:val="24"/>
          <w:szCs w:val="24"/>
          <w:rtl w:val="0"/>
        </w:rPr>
        <w:t xml:space="preserve">En relación con la transmisión de concesiones o sucesión a continuación se exponen los textos de la norma que se impugna y que afectan en forma directa vulnerando las garantías que se han citado en párrafos anteriores. </w:t>
      </w:r>
      <w:r w:rsidDel="00000000" w:rsidR="00000000" w:rsidRPr="00000000">
        <w:rPr>
          <w:rtl w:val="0"/>
        </w:rPr>
      </w:r>
    </w:p>
    <w:p w:rsidR="00000000" w:rsidDel="00000000" w:rsidP="00000000" w:rsidRDefault="00000000" w:rsidRPr="00000000" w14:paraId="000000F0">
      <w:pPr>
        <w:spacing w:before="114" w:lineRule="auto"/>
        <w:rPr>
          <w:b w:val="1"/>
          <w:bCs w:val="1"/>
          <w:sz w:val="20"/>
          <w:szCs w:val="20"/>
        </w:rPr>
      </w:pPr>
      <w:r w:rsidDel="00000000" w:rsidR="00000000" w:rsidRPr="00000000">
        <w:rPr>
          <w:rtl w:val="0"/>
        </w:rPr>
      </w:r>
    </w:p>
    <w:tbl>
      <w:tblPr>
        <w:tblStyle w:val="Table1"/>
        <w:tblW w:w="8826.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2"/>
        <w:gridCol w:w="2947"/>
        <w:gridCol w:w="2937"/>
        <w:tblGridChange w:id="0">
          <w:tblGrid>
            <w:gridCol w:w="2942"/>
            <w:gridCol w:w="2947"/>
            <w:gridCol w:w="2937"/>
          </w:tblGrid>
        </w:tblGridChange>
      </w:tblGrid>
      <w:tr>
        <w:trPr>
          <w:cantSplit w:val="0"/>
          <w:trHeight w:val="402" w:hRule="atLeast"/>
          <w:tblHeader w:val="0"/>
        </w:trPr>
        <w:tc>
          <w:tcPr>
            <w:gridSpan w:val="3"/>
            <w:shd w:fill="f2f2f2"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5" w:right="0" w:firstLine="0"/>
              <w:jc w:val="center"/>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LEY DE AGUAS NACIONALES</w:t>
            </w:r>
          </w:p>
        </w:tc>
      </w:tr>
      <w:tr>
        <w:trPr>
          <w:cantSplit w:val="0"/>
          <w:trHeight w:val="407" w:hRule="atLeast"/>
          <w:tblHeader w:val="0"/>
        </w:trPr>
        <w:tc>
          <w:tcPr>
            <w:shd w:fill="f2f2f2"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755"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TEXTO VIGENTE</w:t>
            </w:r>
          </w:p>
        </w:tc>
        <w:tc>
          <w:tcPr>
            <w:shd w:fill="f2f2f2" w:val="cle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949"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INICIATIVA</w:t>
            </w:r>
          </w:p>
        </w:tc>
        <w:tc>
          <w:tcPr>
            <w:shd w:fill="f2f2f2" w:val="cle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396"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Texto aprobado e impugnado.</w:t>
            </w:r>
          </w:p>
        </w:tc>
      </w:tr>
      <w:tr>
        <w:trPr>
          <w:cantSplit w:val="0"/>
          <w:trHeight w:val="2121" w:hRule="atLeast"/>
          <w:tblHeader w:val="0"/>
        </w:trPr>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10"/>
              </w:tabs>
              <w:spacing w:after="0" w:before="82" w:line="240" w:lineRule="auto"/>
              <w:ind w:left="81" w:right="63"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22.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"La Autoridad del Agua" deberá contestar las solicitudes dentro de un plazo que no excederá de sesenta días hábiles desde su fecha de presentación y estando</w:t>
              <w:tab/>
              <w:t xml:space="preserve">debidamente integrado el expediente.</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22. ...</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22. ...</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8826.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2"/>
        <w:gridCol w:w="2947"/>
        <w:gridCol w:w="2937"/>
        <w:tblGridChange w:id="0">
          <w:tblGrid>
            <w:gridCol w:w="2942"/>
            <w:gridCol w:w="2947"/>
            <w:gridCol w:w="2937"/>
          </w:tblGrid>
        </w:tblGridChange>
      </w:tblGrid>
      <w:tr>
        <w:trPr>
          <w:cantSplit w:val="0"/>
          <w:trHeight w:val="1122" w:hRule="atLeast"/>
          <w:tblHeader w:val="0"/>
        </w:trPr>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11" w:lineRule="auto"/>
              <w:ind w:left="81" w:right="69"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Los derechos amparados en las concesiones y asignaciones no serán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objeto de transmisión.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48406</wp:posOffset>
                      </wp:positionV>
                      <wp:extent cx="1767839" cy="411480"/>
                      <wp:effectExtent b="0" l="0" r="0" t="0"/>
                      <wp:wrapNone/>
                      <wp:docPr id="28" name=""/>
                      <a:graphic>
                        <a:graphicData uri="http://schemas.microsoft.com/office/word/2010/wordprocessingGroup">
                          <wpg:wgp>
                            <wpg:cNvGrpSpPr/>
                            <wpg:grpSpPr>
                              <a:xfrm>
                                <a:off x="4462075" y="3574250"/>
                                <a:ext cx="1767839" cy="411480"/>
                                <a:chOff x="4462075" y="3574250"/>
                                <a:chExt cx="1767850" cy="411500"/>
                              </a:xfrm>
                            </wpg:grpSpPr>
                            <wpg:grpSp>
                              <wpg:cNvGrpSpPr/>
                              <wpg:grpSpPr>
                                <a:xfrm>
                                  <a:off x="4462081" y="3574260"/>
                                  <a:ext cx="1767839" cy="411480"/>
                                  <a:chOff x="0" y="0"/>
                                  <a:chExt cx="1767839" cy="411480"/>
                                </a:xfrm>
                              </wpg:grpSpPr>
                              <wps:wsp>
                                <wps:cNvSpPr/>
                                <wps:cNvPr id="3" name="Shape 3"/>
                                <wps:spPr>
                                  <a:xfrm>
                                    <a:off x="0" y="0"/>
                                    <a:ext cx="1767825" cy="41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1767839" cy="411480"/>
                                  </a:xfrm>
                                  <a:custGeom>
                                    <a:rect b="b" l="l" r="r" t="t"/>
                                    <a:pathLst>
                                      <a:path extrusionOk="0" h="411480" w="1767839">
                                        <a:moveTo>
                                          <a:pt x="1767840" y="0"/>
                                        </a:moveTo>
                                        <a:lnTo>
                                          <a:pt x="0" y="0"/>
                                        </a:lnTo>
                                        <a:lnTo>
                                          <a:pt x="0" y="137160"/>
                                        </a:lnTo>
                                        <a:lnTo>
                                          <a:pt x="0" y="274320"/>
                                        </a:lnTo>
                                        <a:lnTo>
                                          <a:pt x="0" y="411480"/>
                                        </a:lnTo>
                                        <a:lnTo>
                                          <a:pt x="1767840" y="411480"/>
                                        </a:lnTo>
                                        <a:lnTo>
                                          <a:pt x="1767840" y="274320"/>
                                        </a:lnTo>
                                        <a:lnTo>
                                          <a:pt x="1767840" y="137160"/>
                                        </a:lnTo>
                                        <a:lnTo>
                                          <a:pt x="1767840"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48406</wp:posOffset>
                      </wp:positionV>
                      <wp:extent cx="1767839" cy="411480"/>
                      <wp:effectExtent b="0" l="0" r="0" t="0"/>
                      <wp:wrapNone/>
                      <wp:docPr id="2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767839" cy="411480"/>
                              </a:xfrm>
                              <a:prstGeom prst="rect"/>
                              <a:ln/>
                            </pic:spPr>
                          </pic:pic>
                        </a:graphicData>
                      </a:graphic>
                    </wp:anchor>
                  </w:drawing>
                </mc:Fallback>
              </mc:AlternateConten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82"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r>
          </w:p>
        </w:tc>
      </w:tr>
      <w:tr>
        <w:trPr>
          <w:cantSplit w:val="0"/>
          <w:trHeight w:val="2855" w:hRule="atLeast"/>
          <w:tblHeader w:val="0"/>
        </w:trPr>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11" w:lineRule="auto"/>
              <w:ind w:left="81" w:right="69"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La reasignación de volúmenes solo podrá realizarse previo análisis y autorización de "la Autoridad del Agua", quien emitirá un nuevo título de concesión o asignación, a través de procedimientos expeditos, en términos de lo establecido por la Ley Nacional para la Eliminación de Trámites Burocráticos.</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56"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“La Autoridad del Agua” podrá reasignar volúmenes a través de procedimientos ordinarios o expeditos, en términos de lo establecido por esta Ley y la Ley Nacional para Eliminar Trámites Burocráticos, en cuyos casos se emitirá un nuevo título de concesión o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asignación.</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557655"/>
                      <wp:effectExtent b="0" l="0" r="0" t="0"/>
                      <wp:wrapNone/>
                      <wp:docPr id="21" name=""/>
                      <a:graphic>
                        <a:graphicData uri="http://schemas.microsoft.com/office/word/2010/wordprocessingGroup">
                          <wpg:wgp>
                            <wpg:cNvGrpSpPr/>
                            <wpg:grpSpPr>
                              <a:xfrm>
                                <a:off x="4463350" y="3001150"/>
                                <a:ext cx="1765300" cy="1557655"/>
                                <a:chOff x="4463350" y="3001150"/>
                                <a:chExt cx="1765300" cy="1557675"/>
                              </a:xfrm>
                            </wpg:grpSpPr>
                            <wpg:grpSp>
                              <wpg:cNvGrpSpPr/>
                              <wpg:grpSpPr>
                                <a:xfrm>
                                  <a:off x="4463350" y="3001173"/>
                                  <a:ext cx="1765300" cy="1557655"/>
                                  <a:chOff x="0" y="0"/>
                                  <a:chExt cx="1765300" cy="1557655"/>
                                </a:xfrm>
                              </wpg:grpSpPr>
                              <wps:wsp>
                                <wps:cNvSpPr/>
                                <wps:cNvPr id="3" name="Shape 3"/>
                                <wps:spPr>
                                  <a:xfrm>
                                    <a:off x="0" y="0"/>
                                    <a:ext cx="1765300" cy="155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765300" cy="1557655"/>
                                  </a:xfrm>
                                  <a:custGeom>
                                    <a:rect b="b" l="l" r="r" t="t"/>
                                    <a:pathLst>
                                      <a:path extrusionOk="0" h="1557655" w="1765300">
                                        <a:moveTo>
                                          <a:pt x="1764792" y="0"/>
                                        </a:moveTo>
                                        <a:lnTo>
                                          <a:pt x="0" y="0"/>
                                        </a:lnTo>
                                        <a:lnTo>
                                          <a:pt x="0" y="155448"/>
                                        </a:lnTo>
                                        <a:lnTo>
                                          <a:pt x="0" y="310896"/>
                                        </a:lnTo>
                                        <a:lnTo>
                                          <a:pt x="0" y="1557528"/>
                                        </a:lnTo>
                                        <a:lnTo>
                                          <a:pt x="1764792" y="1557528"/>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557655"/>
                      <wp:effectExtent b="0" l="0" r="0" t="0"/>
                      <wp:wrapNone/>
                      <wp:docPr id="2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765300" cy="1557655"/>
                              </a:xfrm>
                              <a:prstGeom prst="rect"/>
                              <a:ln/>
                            </pic:spPr>
                          </pic:pic>
                        </a:graphicData>
                      </a:graphic>
                    </wp:anchor>
                  </w:drawing>
                </mc:Fallback>
              </mc:AlternateContent>
            </w:r>
          </w:p>
        </w:tc>
      </w:tr>
      <w:tr>
        <w:trPr>
          <w:cantSplit w:val="0"/>
          <w:trHeight w:val="407" w:hRule="atLeast"/>
          <w:tblHeader w:val="0"/>
        </w:trPr>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r>
          </w:p>
        </w:tc>
      </w:tr>
      <w:tr>
        <w:trPr>
          <w:cantSplit w:val="0"/>
          <w:trHeight w:val="2121" w:hRule="atLeast"/>
          <w:tblHeader w:val="0"/>
        </w:trPr>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5" w:lineRule="auto"/>
              <w:ind w:left="82" w:right="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37  BIS  1.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“La</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25"/>
              </w:tabs>
              <w:spacing w:after="0" w:before="0" w:line="240" w:lineRule="auto"/>
              <w:ind w:left="82" w:right="58"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Autoridad del Agua”</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resolverá</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ab/>
              <w:t xml:space="preserve">mediante procedimientos expeditos, en un plazo que no exceda de 20 días hábiles,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la</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reasignación de volúmenes,</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en los siguientes supuestos:</w:t>
            </w: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I.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Cuando se transmita el</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dominio de una propiedad</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asociada a un título de</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concesión</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r>
          </w:p>
        </w:tc>
      </w:tr>
      <w:tr>
        <w:trPr>
          <w:cantSplit w:val="0"/>
          <w:trHeight w:val="897" w:hRule="atLeast"/>
          <w:tblHeader w:val="0"/>
        </w:trPr>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56"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II. En los casos de fusión y escisión de sociedades civiles o mercantiles, y</w:t>
            </w:r>
          </w:p>
        </w:tc>
      </w:tr>
      <w:tr>
        <w:trPr>
          <w:cantSplit w:val="0"/>
          <w:trHeight w:val="892"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49"/>
              </w:tabs>
              <w:spacing w:after="0" w:before="77" w:line="240" w:lineRule="auto"/>
              <w:ind w:left="82" w:right="56"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III.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En caso de que se</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acrediten</w:t>
              <w:tab/>
              <w:t xml:space="preserve">derechos</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sucesorios.</w:t>
            </w:r>
            <w:r w:rsidDel="00000000" w:rsidR="00000000" w:rsidRPr="00000000">
              <w:rPr>
                <w:rtl w:val="0"/>
              </w:rPr>
            </w:r>
          </w:p>
        </w:tc>
      </w:tr>
      <w:tr>
        <w:trPr>
          <w:cantSplit w:val="0"/>
          <w:trHeight w:val="2365"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01"/>
              </w:tabs>
              <w:spacing w:after="0" w:before="82"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En la reasignación de volúmenes a que se refieren las fracciones anteriores “la Autoridad del Agua” emitirá un nuevo título de concesión en favor de la persona que acredite los derechos de propiedad,</w:t>
              <w:tab/>
              <w:t xml:space="preserve">de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402080"/>
                      <wp:effectExtent b="0" l="0" r="0" t="0"/>
                      <wp:wrapNone/>
                      <wp:docPr id="26" name=""/>
                      <a:graphic>
                        <a:graphicData uri="http://schemas.microsoft.com/office/word/2010/wordprocessingGroup">
                          <wpg:wgp>
                            <wpg:cNvGrpSpPr/>
                            <wpg:grpSpPr>
                              <a:xfrm>
                                <a:off x="4463350" y="3078950"/>
                                <a:ext cx="1765300" cy="1402080"/>
                                <a:chOff x="4463350" y="3078950"/>
                                <a:chExt cx="1765300" cy="1402100"/>
                              </a:xfrm>
                            </wpg:grpSpPr>
                            <wpg:grpSp>
                              <wpg:cNvGrpSpPr/>
                              <wpg:grpSpPr>
                                <a:xfrm>
                                  <a:off x="4463350" y="3078960"/>
                                  <a:ext cx="1765300" cy="1402080"/>
                                  <a:chOff x="0" y="0"/>
                                  <a:chExt cx="1765300" cy="1402080"/>
                                </a:xfrm>
                              </wpg:grpSpPr>
                              <wps:wsp>
                                <wps:cNvSpPr/>
                                <wps:cNvPr id="3" name="Shape 3"/>
                                <wps:spPr>
                                  <a:xfrm>
                                    <a:off x="0" y="0"/>
                                    <a:ext cx="1765300" cy="140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1765300" cy="1402080"/>
                                  </a:xfrm>
                                  <a:custGeom>
                                    <a:rect b="b" l="l" r="r" t="t"/>
                                    <a:pathLst>
                                      <a:path extrusionOk="0" h="1402080" w="1765300">
                                        <a:moveTo>
                                          <a:pt x="1764792" y="1091196"/>
                                        </a:moveTo>
                                        <a:lnTo>
                                          <a:pt x="0" y="1091196"/>
                                        </a:lnTo>
                                        <a:lnTo>
                                          <a:pt x="0" y="1246632"/>
                                        </a:lnTo>
                                        <a:lnTo>
                                          <a:pt x="0" y="1402080"/>
                                        </a:lnTo>
                                        <a:lnTo>
                                          <a:pt x="1764792" y="1402080"/>
                                        </a:lnTo>
                                        <a:lnTo>
                                          <a:pt x="1764792" y="1246632"/>
                                        </a:lnTo>
                                        <a:lnTo>
                                          <a:pt x="1764792" y="1091196"/>
                                        </a:lnTo>
                                        <a:close/>
                                      </a:path>
                                      <a:path extrusionOk="0" h="1402080" w="1765300">
                                        <a:moveTo>
                                          <a:pt x="1764792" y="0"/>
                                        </a:moveTo>
                                        <a:lnTo>
                                          <a:pt x="0" y="0"/>
                                        </a:lnTo>
                                        <a:lnTo>
                                          <a:pt x="0" y="155448"/>
                                        </a:lnTo>
                                        <a:lnTo>
                                          <a:pt x="0" y="310896"/>
                                        </a:lnTo>
                                        <a:lnTo>
                                          <a:pt x="0" y="1091184"/>
                                        </a:lnTo>
                                        <a:lnTo>
                                          <a:pt x="1764792" y="1091184"/>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402080"/>
                      <wp:effectExtent b="0" l="0" r="0" t="0"/>
                      <wp:wrapNone/>
                      <wp:docPr id="2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65300" cy="1402080"/>
                              </a:xfrm>
                              <a:prstGeom prst="rect"/>
                              <a:ln/>
                            </pic:spPr>
                          </pic:pic>
                        </a:graphicData>
                      </a:graphic>
                    </wp:anchor>
                  </w:drawing>
                </mc:Fallback>
              </mc:AlternateConten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 w:right="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representación   o   de</w:t>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sectPr>
          <w:footerReference r:id="rId12" w:type="default"/>
          <w:pgSz w:h="15840" w:w="12240" w:orient="portrait"/>
          <w:pgMar w:bottom="1260" w:top="1980" w:left="1440" w:right="1440" w:header="708" w:footer="1067"/>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8826.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2"/>
        <w:gridCol w:w="2947"/>
        <w:gridCol w:w="2937"/>
        <w:tblGridChange w:id="0">
          <w:tblGrid>
            <w:gridCol w:w="2942"/>
            <w:gridCol w:w="2947"/>
            <w:gridCol w:w="2937"/>
          </w:tblGrid>
        </w:tblGridChange>
      </w:tblGrid>
      <w:tr>
        <w:trPr>
          <w:cantSplit w:val="0"/>
          <w:trHeight w:val="1382" w:hRule="atLeast"/>
          <w:tblHeader w:val="0"/>
        </w:trPr>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sucesión, según sea el caso,</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el cual conservará el mismo</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volumen y uso, así como el</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plazo remanente del título</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objeto de reasignación.</w:t>
            </w:r>
            <w:r w:rsidDel="00000000" w:rsidR="00000000" w:rsidRPr="00000000">
              <w:rPr>
                <w:rtl w:val="0"/>
              </w:rPr>
            </w:r>
          </w:p>
        </w:tc>
      </w:tr>
      <w:tr>
        <w:trPr>
          <w:cantSplit w:val="0"/>
          <w:trHeight w:val="2860" w:hRule="atLeast"/>
          <w:tblHeader w:val="0"/>
        </w:trPr>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5" w:lineRule="auto"/>
              <w:ind w:left="82" w:right="0"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37 BIS 2.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En la</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 w:right="56"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reasignación de volúmenes</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a que se refieren las fracciones I y II del artículo</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37 BIS de esta Ley, “la Autoridad del Agua” privilegiará aquellos usos que beneficien al derecho humano al agua, la seguridad alimentaria y al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desarrollo nacional.</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312528</wp:posOffset>
                      </wp:positionV>
                      <wp:extent cx="1765300" cy="622300"/>
                      <wp:effectExtent b="0" l="0" r="0" t="0"/>
                      <wp:wrapNone/>
                      <wp:docPr id="23" name=""/>
                      <a:graphic>
                        <a:graphicData uri="http://schemas.microsoft.com/office/word/2010/wordprocessingGroup">
                          <wpg:wgp>
                            <wpg:cNvGrpSpPr/>
                            <wpg:grpSpPr>
                              <a:xfrm>
                                <a:off x="4463350" y="3468850"/>
                                <a:ext cx="1765300" cy="622300"/>
                                <a:chOff x="4463350" y="3468850"/>
                                <a:chExt cx="1765300" cy="622300"/>
                              </a:xfrm>
                            </wpg:grpSpPr>
                            <wpg:grpSp>
                              <wpg:cNvGrpSpPr/>
                              <wpg:grpSpPr>
                                <a:xfrm>
                                  <a:off x="4463350" y="3468850"/>
                                  <a:ext cx="1765300" cy="622300"/>
                                  <a:chOff x="0" y="0"/>
                                  <a:chExt cx="1765300" cy="622300"/>
                                </a:xfrm>
                              </wpg:grpSpPr>
                              <wps:wsp>
                                <wps:cNvSpPr/>
                                <wps:cNvPr id="3" name="Shape 3"/>
                                <wps:spPr>
                                  <a:xfrm>
                                    <a:off x="0" y="0"/>
                                    <a:ext cx="1765300" cy="622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1765300" cy="622300"/>
                                  </a:xfrm>
                                  <a:custGeom>
                                    <a:rect b="b" l="l" r="r" t="t"/>
                                    <a:pathLst>
                                      <a:path extrusionOk="0" h="622300" w="1765300">
                                        <a:moveTo>
                                          <a:pt x="1764792" y="0"/>
                                        </a:moveTo>
                                        <a:lnTo>
                                          <a:pt x="0" y="0"/>
                                        </a:lnTo>
                                        <a:lnTo>
                                          <a:pt x="0" y="155448"/>
                                        </a:lnTo>
                                        <a:lnTo>
                                          <a:pt x="0" y="310896"/>
                                        </a:lnTo>
                                        <a:lnTo>
                                          <a:pt x="0" y="466344"/>
                                        </a:lnTo>
                                        <a:lnTo>
                                          <a:pt x="0" y="621792"/>
                                        </a:lnTo>
                                        <a:lnTo>
                                          <a:pt x="1764792" y="621792"/>
                                        </a:lnTo>
                                        <a:lnTo>
                                          <a:pt x="1764792" y="466344"/>
                                        </a:lnTo>
                                        <a:lnTo>
                                          <a:pt x="1764792" y="310896"/>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312528</wp:posOffset>
                      </wp:positionV>
                      <wp:extent cx="1765300" cy="622300"/>
                      <wp:effectExtent b="0" l="0" r="0" t="0"/>
                      <wp:wrapNone/>
                      <wp:docPr id="23"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765300" cy="622300"/>
                              </a:xfrm>
                              <a:prstGeom prst="rect"/>
                              <a:ln/>
                            </pic:spPr>
                          </pic:pic>
                        </a:graphicData>
                      </a:graphic>
                    </wp:anchor>
                  </w:drawing>
                </mc:Fallback>
              </mc:AlternateContent>
            </w:r>
          </w:p>
        </w:tc>
      </w:tr>
      <w:tr>
        <w:trPr>
          <w:cantSplit w:val="0"/>
          <w:trHeight w:val="4574" w:hRule="atLeast"/>
          <w:tblHeader w:val="0"/>
        </w:trPr>
        <w:tc>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25"/>
              </w:tabs>
              <w:spacing w:after="0" w:before="82"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La reasignación de los volúmenes a que se refiere el presente artículo deberá someterse por parte de “la Autoridad del Agua” al análisis y autorización del Comité del fondo de reserva de aguas nacionales, el cual estará integrado por la representación de las Secretarías de Medio Ambiente,</w:t>
              <w:tab/>
              <w:t xml:space="preserve">Bienestar, Economía, Hacienda y Crédito Público, Agricultura y Desarrollo Rural y será presidido por la persona titular de la Comisión Nacional del Agua.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243965"/>
                      <wp:effectExtent b="0" l="0" r="0" t="0"/>
                      <wp:wrapNone/>
                      <wp:docPr id="25" name=""/>
                      <a:graphic>
                        <a:graphicData uri="http://schemas.microsoft.com/office/word/2010/wordprocessingGroup">
                          <wpg:wgp>
                            <wpg:cNvGrpSpPr/>
                            <wpg:grpSpPr>
                              <a:xfrm>
                                <a:off x="4463350" y="3158000"/>
                                <a:ext cx="1765300" cy="1243965"/>
                                <a:chOff x="4463350" y="3158000"/>
                                <a:chExt cx="1765300" cy="1243975"/>
                              </a:xfrm>
                            </wpg:grpSpPr>
                            <wpg:grpSp>
                              <wpg:cNvGrpSpPr/>
                              <wpg:grpSpPr>
                                <a:xfrm>
                                  <a:off x="4463350" y="3158018"/>
                                  <a:ext cx="1765300" cy="1243965"/>
                                  <a:chOff x="0" y="0"/>
                                  <a:chExt cx="1765300" cy="1243965"/>
                                </a:xfrm>
                              </wpg:grpSpPr>
                              <wps:wsp>
                                <wps:cNvSpPr/>
                                <wps:cNvPr id="3" name="Shape 3"/>
                                <wps:spPr>
                                  <a:xfrm>
                                    <a:off x="0" y="0"/>
                                    <a:ext cx="1765300" cy="124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0" y="0"/>
                                    <a:ext cx="1765300" cy="1243965"/>
                                  </a:xfrm>
                                  <a:custGeom>
                                    <a:rect b="b" l="l" r="r" t="t"/>
                                    <a:pathLst>
                                      <a:path extrusionOk="0" h="1243965" w="1765300">
                                        <a:moveTo>
                                          <a:pt x="1764792" y="0"/>
                                        </a:moveTo>
                                        <a:lnTo>
                                          <a:pt x="0" y="0"/>
                                        </a:lnTo>
                                        <a:lnTo>
                                          <a:pt x="0" y="155448"/>
                                        </a:lnTo>
                                        <a:lnTo>
                                          <a:pt x="0" y="310896"/>
                                        </a:lnTo>
                                        <a:lnTo>
                                          <a:pt x="0" y="1243584"/>
                                        </a:lnTo>
                                        <a:lnTo>
                                          <a:pt x="1322819" y="1243584"/>
                                        </a:lnTo>
                                        <a:lnTo>
                                          <a:pt x="1322819" y="1088136"/>
                                        </a:lnTo>
                                        <a:lnTo>
                                          <a:pt x="1764792" y="1088136"/>
                                        </a:lnTo>
                                        <a:lnTo>
                                          <a:pt x="1764792" y="932688"/>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51797</wp:posOffset>
                      </wp:positionV>
                      <wp:extent cx="1765300" cy="1243965"/>
                      <wp:effectExtent b="0" l="0" r="0" t="0"/>
                      <wp:wrapNone/>
                      <wp:docPr id="25"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765300" cy="1243965"/>
                              </a:xfrm>
                              <a:prstGeom prst="rect"/>
                              <a:ln/>
                            </pic:spPr>
                          </pic:pic>
                        </a:graphicData>
                      </a:graphic>
                    </wp:anchor>
                  </w:drawing>
                </mc:Fallback>
              </mc:AlternateContent>
            </w:r>
          </w:p>
        </w:tc>
      </w:tr>
      <w:tr>
        <w:trPr>
          <w:cantSplit w:val="0"/>
          <w:trHeight w:val="647" w:hRule="atLeast"/>
          <w:tblHeader w:val="0"/>
        </w:trPr>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59" w:right="844" w:firstLine="117.99999999999997"/>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Capítulo II Uso Agrícola</w:t>
            </w:r>
          </w:p>
        </w:tc>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58" w:right="835" w:firstLine="117.99999999999997"/>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Capítulo II Uso Agrícola</w:t>
            </w:r>
          </w:p>
        </w:tc>
      </w:tr>
      <w:tr>
        <w:trPr>
          <w:cantSplit w:val="0"/>
          <w:trHeight w:val="2370" w:hRule="atLeast"/>
          <w:tblHeader w:val="0"/>
        </w:trPr>
        <w:tc>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63"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49.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derechos de explotación, uso o aprovechamiento de agua para uso agrícola, ganadero o forestal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se podrán</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transmitir</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en los términos y condiciones establecidas en esta Ley y sus reglamentos.</w:t>
            </w:r>
          </w:p>
        </w:tc>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69"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49. </w:t>
            </w:r>
            <w:r w:rsidDel="00000000" w:rsidR="00000000" w:rsidRPr="00000000">
              <w:rPr>
                <w:rFonts w:ascii="Century Gothic" w:cs="Century Gothic" w:eastAsia="Century Gothic" w:hAnsi="Century Gothic"/>
                <w:b w:val="1"/>
                <w:bCs w:val="1"/>
                <w:i w:val="0"/>
                <w:iCs w:val="0"/>
                <w:smallCaps w:val="0"/>
                <w:strike w:val="1"/>
                <w:color w:val="000000"/>
                <w:sz w:val="20"/>
                <w:szCs w:val="20"/>
                <w:u w:val="none"/>
                <w:shd w:fill="auto" w:val="clear"/>
                <w:vertAlign w:val="baseline"/>
                <w:rtl w:val="0"/>
              </w:rPr>
              <w:t xml:space="preserve">Los volúmenes</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1"/>
                <w:color w:val="000000"/>
                <w:sz w:val="20"/>
                <w:szCs w:val="20"/>
                <w:u w:val="none"/>
                <w:shd w:fill="auto" w:val="clear"/>
                <w:vertAlign w:val="baseline"/>
                <w:rtl w:val="0"/>
              </w:rPr>
              <w:t xml:space="preserve">de agua provenientes de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los derechos de explotación, uso o aprovechamiento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de</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agua para uso agrícola,</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ganadero o forestal </w:t>
            </w:r>
            <w:r w:rsidDel="00000000" w:rsidR="00000000" w:rsidRPr="00000000">
              <w:rPr>
                <w:rFonts w:ascii="Century Gothic" w:cs="Century Gothic" w:eastAsia="Century Gothic" w:hAnsi="Century Gothic"/>
                <w:b w:val="0"/>
                <w:bCs w:val="0"/>
                <w:i w:val="0"/>
                <w:iCs w:val="0"/>
                <w:smallCaps w:val="0"/>
                <w:strike w:val="1"/>
                <w:color w:val="000000"/>
                <w:sz w:val="20"/>
                <w:szCs w:val="20"/>
                <w:highlight w:val="yellow"/>
                <w:u w:val="none"/>
                <w:vertAlign w:val="baseline"/>
                <w:rtl w:val="0"/>
              </w:rPr>
              <w:t xml:space="preserve">se</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1"/>
                <w:color w:val="000000"/>
                <w:sz w:val="20"/>
                <w:szCs w:val="20"/>
                <w:highlight w:val="yellow"/>
                <w:u w:val="none"/>
                <w:vertAlign w:val="baseline"/>
                <w:rtl w:val="0"/>
              </w:rPr>
              <w:t xml:space="preserve">reasignarán</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 los términos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y</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condiciones establecidas en</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esta Ley y sus reglamentos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57"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49. Cuando se transmita el dominio de tierras vinculadas con un título de concesión para el uso del agua a que se refiere el presente Capítulo,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la</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nueva persona propietaria conservará los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derechos sobre la explotación, uso o</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987534</wp:posOffset>
                      </wp:positionV>
                      <wp:extent cx="1765300" cy="466725"/>
                      <wp:effectExtent b="0" l="0" r="0" t="0"/>
                      <wp:wrapNone/>
                      <wp:docPr id="22" name=""/>
                      <a:graphic>
                        <a:graphicData uri="http://schemas.microsoft.com/office/word/2010/wordprocessingGroup">
                          <wpg:wgp>
                            <wpg:cNvGrpSpPr/>
                            <wpg:grpSpPr>
                              <a:xfrm>
                                <a:off x="4463350" y="3546625"/>
                                <a:ext cx="1765300" cy="466725"/>
                                <a:chOff x="4463350" y="3546625"/>
                                <a:chExt cx="1765300" cy="466750"/>
                              </a:xfrm>
                            </wpg:grpSpPr>
                            <wpg:grpSp>
                              <wpg:cNvGrpSpPr/>
                              <wpg:grpSpPr>
                                <a:xfrm>
                                  <a:off x="4463350" y="3546638"/>
                                  <a:ext cx="1765300" cy="466725"/>
                                  <a:chOff x="0" y="0"/>
                                  <a:chExt cx="1765300" cy="466725"/>
                                </a:xfrm>
                              </wpg:grpSpPr>
                              <wps:wsp>
                                <wps:cNvSpPr/>
                                <wps:cNvPr id="3" name="Shape 3"/>
                                <wps:spPr>
                                  <a:xfrm>
                                    <a:off x="0" y="0"/>
                                    <a:ext cx="1765300" cy="466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1765300" cy="466725"/>
                                  </a:xfrm>
                                  <a:custGeom>
                                    <a:rect b="b" l="l" r="r" t="t"/>
                                    <a:pathLst>
                                      <a:path extrusionOk="0" h="466725" w="1765300">
                                        <a:moveTo>
                                          <a:pt x="1764792" y="310908"/>
                                        </a:moveTo>
                                        <a:lnTo>
                                          <a:pt x="0" y="310908"/>
                                        </a:lnTo>
                                        <a:lnTo>
                                          <a:pt x="0" y="466344"/>
                                        </a:lnTo>
                                        <a:lnTo>
                                          <a:pt x="1764792" y="466344"/>
                                        </a:lnTo>
                                        <a:lnTo>
                                          <a:pt x="1764792" y="310908"/>
                                        </a:lnTo>
                                        <a:close/>
                                      </a:path>
                                      <a:path extrusionOk="0" h="466725" w="1765300">
                                        <a:moveTo>
                                          <a:pt x="1764792" y="0"/>
                                        </a:moveTo>
                                        <a:lnTo>
                                          <a:pt x="0" y="0"/>
                                        </a:lnTo>
                                        <a:lnTo>
                                          <a:pt x="0" y="155448"/>
                                        </a:lnTo>
                                        <a:lnTo>
                                          <a:pt x="0" y="310896"/>
                                        </a:lnTo>
                                        <a:lnTo>
                                          <a:pt x="1764792" y="310896"/>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987534</wp:posOffset>
                      </wp:positionV>
                      <wp:extent cx="1765300" cy="466725"/>
                      <wp:effectExtent b="0" l="0" r="0" t="0"/>
                      <wp:wrapNone/>
                      <wp:docPr id="2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765300" cy="466725"/>
                              </a:xfrm>
                              <a:prstGeom prst="rect"/>
                              <a:ln/>
                            </pic:spPr>
                          </pic:pic>
                        </a:graphicData>
                      </a:graphic>
                    </wp:anchor>
                  </w:drawing>
                </mc:Fallback>
              </mc:AlternateContent>
            </w:r>
          </w:p>
          <w:p w:rsidR="00000000" w:rsidDel="00000000" w:rsidP="00000000" w:rsidRDefault="00000000" w:rsidRPr="00000000" w14:paraId="00000128">
            <w:pPr>
              <w:jc w:val="right"/>
              <w:rPr/>
            </w:pPr>
            <w:r w:rsidDel="00000000" w:rsidR="00000000" w:rsidRPr="00000000">
              <w:rPr>
                <w:rtl w:val="0"/>
              </w:rPr>
            </w:r>
          </w:p>
        </w:tc>
      </w:tr>
    </w:tbl>
    <w:p w:rsidR="00000000" w:rsidDel="00000000" w:rsidP="00000000" w:rsidRDefault="00000000" w:rsidRPr="00000000" w14:paraId="00000129">
      <w:pPr>
        <w:rPr/>
        <w:sectPr>
          <w:headerReference r:id="rId13" w:type="default"/>
          <w:footerReference r:id="rId14" w:type="default"/>
          <w:type w:val="nextPage"/>
          <w:pgSz w:h="15840" w:w="12240" w:orient="portrait"/>
          <w:pgMar w:bottom="1260" w:top="1980" w:left="1440" w:right="1440" w:header="708" w:footer="1067"/>
        </w:sect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4"/>
        <w:tblW w:w="8826.0" w:type="dxa"/>
        <w:jc w:val="left"/>
        <w:tblInd w:w="2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2"/>
        <w:gridCol w:w="2947"/>
        <w:gridCol w:w="2937"/>
        <w:tblGridChange w:id="0">
          <w:tblGrid>
            <w:gridCol w:w="2942"/>
            <w:gridCol w:w="2947"/>
            <w:gridCol w:w="2937"/>
          </w:tblGrid>
        </w:tblGridChange>
      </w:tblGrid>
      <w:tr>
        <w:trPr>
          <w:cantSplit w:val="0"/>
          <w:trHeight w:val="3100" w:hRule="atLeast"/>
          <w:tblHeader w:val="0"/>
        </w:trPr>
        <w:tc>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42"/>
                <w:tab w:val="left" w:leader="none" w:pos="2597"/>
              </w:tabs>
              <w:spacing w:after="0" w:before="77" w:line="240" w:lineRule="auto"/>
              <w:ind w:left="82" w:right="57"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aprovechamiento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de las aguas correspondientes. “La Autoridad del Agua”, una vez efectuado el cambio de dominio, expedirá un nuevo título de concesión conforme</w:t>
              <w:tab/>
              <w:t xml:space="preserve">a</w:t>
              <w:tab/>
              <w:t xml:space="preserve">las características de uso y volumen del título original y por el plazo remanente de su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vigencia</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 los términos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previstos en la presente Ley.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48622</wp:posOffset>
                      </wp:positionV>
                      <wp:extent cx="1765300" cy="1557655"/>
                      <wp:effectExtent b="0" l="0" r="0" t="0"/>
                      <wp:wrapNone/>
                      <wp:docPr id="27" name=""/>
                      <a:graphic>
                        <a:graphicData uri="http://schemas.microsoft.com/office/word/2010/wordprocessingGroup">
                          <wpg:wgp>
                            <wpg:cNvGrpSpPr/>
                            <wpg:grpSpPr>
                              <a:xfrm>
                                <a:off x="4463350" y="3001150"/>
                                <a:ext cx="1765300" cy="1557655"/>
                                <a:chOff x="4463350" y="3001150"/>
                                <a:chExt cx="1765300" cy="1557675"/>
                              </a:xfrm>
                            </wpg:grpSpPr>
                            <wpg:grpSp>
                              <wpg:cNvGrpSpPr/>
                              <wpg:grpSpPr>
                                <a:xfrm>
                                  <a:off x="4463350" y="3001173"/>
                                  <a:ext cx="1765300" cy="1557655"/>
                                  <a:chOff x="0" y="0"/>
                                  <a:chExt cx="1765300" cy="1557655"/>
                                </a:xfrm>
                              </wpg:grpSpPr>
                              <wps:wsp>
                                <wps:cNvSpPr/>
                                <wps:cNvPr id="3" name="Shape 3"/>
                                <wps:spPr>
                                  <a:xfrm>
                                    <a:off x="0" y="0"/>
                                    <a:ext cx="1765300" cy="1557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1765300" cy="1557655"/>
                                  </a:xfrm>
                                  <a:custGeom>
                                    <a:rect b="b" l="l" r="r" t="t"/>
                                    <a:pathLst>
                                      <a:path extrusionOk="0" h="1557655" w="1765300">
                                        <a:moveTo>
                                          <a:pt x="1764792" y="0"/>
                                        </a:moveTo>
                                        <a:lnTo>
                                          <a:pt x="0" y="0"/>
                                        </a:lnTo>
                                        <a:lnTo>
                                          <a:pt x="0" y="155448"/>
                                        </a:lnTo>
                                        <a:lnTo>
                                          <a:pt x="0" y="313944"/>
                                        </a:lnTo>
                                        <a:lnTo>
                                          <a:pt x="0" y="1557528"/>
                                        </a:lnTo>
                                        <a:lnTo>
                                          <a:pt x="1764792" y="1557528"/>
                                        </a:lnTo>
                                        <a:lnTo>
                                          <a:pt x="1764792" y="155448"/>
                                        </a:lnTo>
                                        <a:lnTo>
                                          <a:pt x="1764792"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48622</wp:posOffset>
                      </wp:positionV>
                      <wp:extent cx="1765300" cy="1557655"/>
                      <wp:effectExtent b="0" l="0" r="0" t="0"/>
                      <wp:wrapNone/>
                      <wp:docPr id="2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765300" cy="1557655"/>
                              </a:xfrm>
                              <a:prstGeom prst="rect"/>
                              <a:ln/>
                            </pic:spPr>
                          </pic:pic>
                        </a:graphicData>
                      </a:graphic>
                    </wp:anchor>
                  </w:drawing>
                </mc:Fallback>
              </mc:AlternateContent>
            </w:r>
          </w:p>
        </w:tc>
      </w:tr>
      <w:tr>
        <w:trPr>
          <w:cantSplit w:val="0"/>
          <w:trHeight w:val="3105" w:hRule="atLeast"/>
          <w:tblHeader w:val="0"/>
        </w:trPr>
        <w:tc>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63" w:firstLine="0"/>
              <w:jc w:val="both"/>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56 BIS.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 los casos en que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los ejidatarios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o</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comuneros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transmitan la titularidad de la tierra conforme a la Ley,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podrán</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también transmitir</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sus</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1"/>
                <w:color w:val="000000"/>
                <w:sz w:val="20"/>
                <w:szCs w:val="20"/>
                <w:u w:val="none"/>
                <w:shd w:fill="auto" w:val="clear"/>
                <w:vertAlign w:val="baseline"/>
                <w:rtl w:val="0"/>
              </w:rPr>
              <w:t xml:space="preserve">derechos de agua.</w:t>
            </w: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1" w:right="69"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56 BIS.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En los casos en que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las personas</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ejidatarias o comuneras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transmitan la titularidad de la tierra conforme a la Ley, </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y estas cuenten con un título de concesión de agua, deberán solicitar a “la Autoridad del Agua” la resignación de volúmenes para la nueva persona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titular</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51815</wp:posOffset>
                      </wp:positionH>
                      <wp:positionV relativeFrom="paragraph">
                        <wp:posOffset>362693</wp:posOffset>
                      </wp:positionV>
                      <wp:extent cx="1767839" cy="1402080"/>
                      <wp:effectExtent b="0" l="0" r="0" t="0"/>
                      <wp:wrapNone/>
                      <wp:docPr id="24" name=""/>
                      <a:graphic>
                        <a:graphicData uri="http://schemas.microsoft.com/office/word/2010/wordprocessingGroup">
                          <wpg:wgp>
                            <wpg:cNvGrpSpPr/>
                            <wpg:grpSpPr>
                              <a:xfrm>
                                <a:off x="4462075" y="3078950"/>
                                <a:ext cx="1767839" cy="1402080"/>
                                <a:chOff x="4462075" y="3078950"/>
                                <a:chExt cx="1767850" cy="1402100"/>
                              </a:xfrm>
                            </wpg:grpSpPr>
                            <wpg:grpSp>
                              <wpg:cNvGrpSpPr/>
                              <wpg:grpSpPr>
                                <a:xfrm>
                                  <a:off x="4462081" y="3078960"/>
                                  <a:ext cx="1767839" cy="1402080"/>
                                  <a:chOff x="0" y="0"/>
                                  <a:chExt cx="1767839" cy="1402080"/>
                                </a:xfrm>
                              </wpg:grpSpPr>
                              <wps:wsp>
                                <wps:cNvSpPr/>
                                <wps:cNvPr id="3" name="Shape 3"/>
                                <wps:spPr>
                                  <a:xfrm>
                                    <a:off x="0" y="0"/>
                                    <a:ext cx="1767825" cy="1402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0"/>
                                    <a:ext cx="1767839" cy="1402080"/>
                                  </a:xfrm>
                                  <a:custGeom>
                                    <a:rect b="b" l="l" r="r" t="t"/>
                                    <a:pathLst>
                                      <a:path extrusionOk="0" h="1402080" w="1767839">
                                        <a:moveTo>
                                          <a:pt x="1767840" y="0"/>
                                        </a:moveTo>
                                        <a:lnTo>
                                          <a:pt x="0" y="0"/>
                                        </a:lnTo>
                                        <a:lnTo>
                                          <a:pt x="0" y="155448"/>
                                        </a:lnTo>
                                        <a:lnTo>
                                          <a:pt x="0" y="310896"/>
                                        </a:lnTo>
                                        <a:lnTo>
                                          <a:pt x="0" y="1402080"/>
                                        </a:lnTo>
                                        <a:lnTo>
                                          <a:pt x="1767840" y="1402080"/>
                                        </a:lnTo>
                                        <a:lnTo>
                                          <a:pt x="1767840" y="155448"/>
                                        </a:lnTo>
                                        <a:lnTo>
                                          <a:pt x="1767840" y="0"/>
                                        </a:lnTo>
                                        <a:close/>
                                      </a:path>
                                    </a:pathLst>
                                  </a:custGeom>
                                  <a:solidFill>
                                    <a:srgbClr val="FFFF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51815</wp:posOffset>
                      </wp:positionH>
                      <wp:positionV relativeFrom="paragraph">
                        <wp:posOffset>362693</wp:posOffset>
                      </wp:positionV>
                      <wp:extent cx="1767839" cy="1402080"/>
                      <wp:effectExtent b="0" l="0" r="0" t="0"/>
                      <wp:wrapNone/>
                      <wp:docPr id="2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767839" cy="1402080"/>
                              </a:xfrm>
                              <a:prstGeom prst="rect"/>
                              <a:ln/>
                            </pic:spPr>
                          </pic:pic>
                        </a:graphicData>
                      </a:graphic>
                    </wp:anchor>
                  </w:drawing>
                </mc:Fallback>
              </mc:AlternateContent>
            </w:r>
          </w:p>
        </w:tc>
        <w:tc>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2" w:right="0" w:firstLine="0"/>
              <w:jc w:val="left"/>
              <w:rPr>
                <w:rFonts w:ascii="Century Gothic" w:cs="Century Gothic" w:eastAsia="Century Gothic" w:hAnsi="Century Gothic"/>
                <w:b w:val="0"/>
                <w:bCs w:val="0"/>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ARTÍCULO 56 BIS. </w:t>
            </w:r>
            <w:r w:rsidDel="00000000" w:rsidR="00000000" w:rsidRPr="00000000">
              <w:rPr>
                <w:rFonts w:ascii="Century Gothic" w:cs="Century Gothic" w:eastAsia="Century Gothic" w:hAnsi="Century Gothic"/>
                <w:b w:val="0"/>
                <w:bCs w:val="0"/>
                <w:i w:val="0"/>
                <w:iCs w:val="0"/>
                <w:smallCaps w:val="0"/>
                <w:strike w:val="0"/>
                <w:color w:val="000000"/>
                <w:sz w:val="20"/>
                <w:szCs w:val="20"/>
                <w:u w:val="none"/>
                <w:shd w:fill="auto" w:val="clear"/>
                <w:vertAlign w:val="baseline"/>
                <w:rtl w:val="0"/>
              </w:rPr>
              <w:t xml:space="preserve">…</w:t>
            </w:r>
          </w:p>
        </w:tc>
      </w:tr>
      <w:tr>
        <w:trPr>
          <w:cantSplit w:val="0"/>
          <w:trHeight w:val="1382"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1" w:right="0" w:firstLine="0"/>
              <w:jc w:val="left"/>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Sin correlativo</w:t>
            </w:r>
          </w:p>
        </w:tc>
        <w:tc>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81" w:right="68" w:firstLine="0"/>
              <w:jc w:val="both"/>
              <w:rPr>
                <w:rFonts w:ascii="Century Gothic" w:cs="Century Gothic" w:eastAsia="Century Gothic" w:hAnsi="Century Gothic"/>
                <w:b w:val="1"/>
                <w:bCs w:val="1"/>
                <w:i w:val="0"/>
                <w:iCs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“La Autoridad del Agua”</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0"/>
                <w:szCs w:val="20"/>
                <w:highlight w:val="yellow"/>
                <w:u w:val="none"/>
                <w:vertAlign w:val="baseline"/>
                <w:rtl w:val="0"/>
              </w:rPr>
              <w:t xml:space="preserve">expedirá un nuevo título</w:t>
            </w:r>
            <w:r w:rsidDel="00000000" w:rsidR="00000000" w:rsidRPr="00000000">
              <w:rPr>
                <w:rFonts w:ascii="Century Gothic" w:cs="Century Gothic" w:eastAsia="Century Gothic" w:hAnsi="Century Gothic"/>
                <w:b w:val="1"/>
                <w:bCs w:val="1"/>
                <w:i w:val="0"/>
                <w:iCs w:val="0"/>
                <w:smallCaps w:val="0"/>
                <w:strike w:val="0"/>
                <w:color w:val="000000"/>
                <w:sz w:val="20"/>
                <w:szCs w:val="20"/>
                <w:u w:val="none"/>
                <w:shd w:fill="auto" w:val="clear"/>
                <w:vertAlign w:val="baseline"/>
                <w:rtl w:val="0"/>
              </w:rPr>
              <w:t xml:space="preserve"> mediante un procedimiento abreviado, exceptuando el análisis de la disponibilidad.</w:t>
            </w:r>
          </w:p>
        </w:tc>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4">
      <w:pPr>
        <w:spacing w:line="240" w:lineRule="auto"/>
        <w:jc w:val="both"/>
        <w:rPr>
          <w:rFonts w:ascii="Lucida Sans" w:cs="Lucida Sans" w:eastAsia="Lucida Sans" w:hAnsi="Lucida Sans"/>
          <w:sz w:val="24"/>
          <w:szCs w:val="24"/>
          <w:highlight w:val="yellow"/>
        </w:rPr>
      </w:pPr>
      <w:r w:rsidDel="00000000" w:rsidR="00000000" w:rsidRPr="00000000">
        <w:rPr>
          <w:rtl w:val="0"/>
        </w:rPr>
      </w:r>
    </w:p>
    <w:p w:rsidR="00000000" w:rsidDel="00000000" w:rsidP="00000000" w:rsidRDefault="00000000" w:rsidRPr="00000000" w14:paraId="00000135">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Este elemento, introducido en la reciente aprobación de los órganos señalados como autoridades responsables, impacta de forma directa en la esfera de derechos de la persona suscrita a la luz de los siguientes: </w:t>
      </w:r>
    </w:p>
    <w:p w:rsidR="00000000" w:rsidDel="00000000" w:rsidP="00000000" w:rsidRDefault="00000000" w:rsidRPr="00000000" w14:paraId="00000136">
      <w:pPr>
        <w:tabs>
          <w:tab w:val="left" w:leader="none" w:pos="5529"/>
        </w:tabs>
        <w:spacing w:line="240" w:lineRule="auto"/>
        <w:ind w:right="-1137"/>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37">
      <w:pPr>
        <w:tabs>
          <w:tab w:val="left" w:leader="none" w:pos="5529"/>
        </w:tabs>
        <w:spacing w:line="240" w:lineRule="auto"/>
        <w:ind w:right="-1137"/>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X. CONCEPTOS DE VIOLACIÓN </w:t>
      </w:r>
    </w:p>
    <w:p w:rsidR="00000000" w:rsidDel="00000000" w:rsidP="00000000" w:rsidRDefault="00000000" w:rsidRPr="00000000" w14:paraId="00000138">
      <w:pPr>
        <w:tabs>
          <w:tab w:val="left" w:leader="none" w:pos="5529"/>
        </w:tabs>
        <w:spacing w:line="240" w:lineRule="auto"/>
        <w:ind w:right="560"/>
        <w:jc w:val="both"/>
        <w:rPr>
          <w:rFonts w:ascii="Lucida Sans" w:cs="Lucida Sans" w:eastAsia="Lucida Sans" w:hAnsi="Lucida Sans"/>
          <w:b w:val="1"/>
          <w:bCs w:val="1"/>
          <w:sz w:val="24"/>
          <w:szCs w:val="24"/>
          <w:highlight w:val="yellow"/>
        </w:rPr>
      </w:pPr>
      <w:r w:rsidDel="00000000" w:rsidR="00000000" w:rsidRPr="00000000">
        <w:rPr>
          <w:rtl w:val="0"/>
        </w:rPr>
      </w:r>
    </w:p>
    <w:p w:rsidR="00000000" w:rsidDel="00000000" w:rsidP="00000000" w:rsidRDefault="00000000" w:rsidRPr="00000000" w14:paraId="00000139">
      <w:pPr>
        <w:tabs>
          <w:tab w:val="left" w:leader="none" w:pos="5529"/>
        </w:tabs>
        <w:spacing w:line="240" w:lineRule="auto"/>
        <w:ind w:right="560"/>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PRIMERO. EL DECRETO POR EL QUE SE EXPIDE LA LEY GENERAL DE AGUAS Y, SE REFORMAN, ADICIONAN Y DEROGAN DIVERSAS DISPOSICIONES DE LA LEY DE AGUAS NACIONALES, EN MATERIA USO Y TRANSMISIÓN DE CONCESIONES, ASIGNACIONES Y PERMISOS VIOLA EL PRINCIPIO DE CONFIANZA LEGÍTIMA RECONOCIDOS EN LOS ARTÍCULOS 14 Y 16 DE LA CONSTITUCIÓN POLÍTICA DE LOS ESTADOS UNIDOS MEXICANOS BAJO LA PERSPECTIVA DE SEGURIDAD JURÍDICA. </w:t>
      </w:r>
    </w:p>
    <w:p w:rsidR="00000000" w:rsidDel="00000000" w:rsidP="00000000" w:rsidRDefault="00000000" w:rsidRPr="00000000" w14:paraId="0000013A">
      <w:pPr>
        <w:tabs>
          <w:tab w:val="left" w:leader="none" w:pos="5529"/>
        </w:tabs>
        <w:spacing w:line="240" w:lineRule="auto"/>
        <w:ind w:right="562"/>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3B">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El principio de confianza legítima fue desarrollado por el Poder Judicial de la Federación y gradualmente se consolidó como un principio derivado de la Constitución.</w:t>
      </w:r>
    </w:p>
    <w:p w:rsidR="00000000" w:rsidDel="00000000" w:rsidP="00000000" w:rsidRDefault="00000000" w:rsidRPr="00000000" w14:paraId="0000013C">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3D">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2017, se publicaron tres tesis que surgieron a partir de la resolución de tres amparos en revisión (894/2015, 670/2015 y 914/2015). En estos casos, diversas personas morales impugnaron, por considerarlo inconstitucional, el Decreto que reformó, adicionó y derogó per disposiciones de la Ley del Impuesto al Valor Agregado, la Ley del Impuesto Especial sobre Producción y Servicios y la Ley Federal de Derechos. Asimismo, dicho Decreto expidió la Ley del Impuesto sobre la Renta y eliminó tanto la Ley del Impuesto Empresarial a Tasa Única como la Ley del Impuesto a los Depósitos en Efectivo. Esta reforma fue publicada en el Diario Oficial de la Federación el 11 de diciembre de 2013.</w:t>
      </w:r>
      <w:r w:rsidDel="00000000" w:rsidR="00000000" w:rsidRPr="00000000">
        <w:rPr>
          <w:rFonts w:ascii="Lucida Sans" w:cs="Lucida Sans" w:eastAsia="Lucida Sans" w:hAnsi="Lucida Sans"/>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13E">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3F">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los tres amparos, el análisis del principio de confianza legítima se realizó de manera uniforme. En particular, en el amparo 894/2015, las sociedades quejosas argumentaron que:</w:t>
      </w:r>
    </w:p>
    <w:p w:rsidR="00000000" w:rsidDel="00000000" w:rsidP="00000000" w:rsidRDefault="00000000" w:rsidRPr="00000000" w14:paraId="00000140">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41">
      <w:pPr>
        <w:shd w:fill="ffffff" w:val="clear"/>
        <w:tabs>
          <w:tab w:val="left" w:leader="none" w:pos="5529"/>
        </w:tabs>
        <w:spacing w:line="240" w:lineRule="auto"/>
        <w:ind w:left="720" w:right="1129" w:firstLine="0"/>
        <w:jc w:val="both"/>
        <w:rPr>
          <w:rFonts w:ascii="Lucida Sans" w:cs="Lucida Sans" w:eastAsia="Lucida Sans" w:hAnsi="Lucida Sans"/>
          <w:sz w:val="20"/>
          <w:szCs w:val="20"/>
        </w:rPr>
      </w:pPr>
      <w:r w:rsidDel="00000000" w:rsidR="00000000" w:rsidRPr="00000000">
        <w:rPr>
          <w:rFonts w:ascii="Lucida Sans" w:cs="Lucida Sans" w:eastAsia="Lucida Sans" w:hAnsi="Lucida Sans"/>
          <w:i w:val="1"/>
          <w:iCs w:val="1"/>
          <w:sz w:val="20"/>
          <w:szCs w:val="20"/>
          <w:rtl w:val="0"/>
        </w:rPr>
        <w:t xml:space="preserve">“…la violación al citado principio surge con motivo de que el legislador, de manera abrupta, intempestiva e inmediata, eliminó el régimen simplificado [en el cual venían tributando] e implementó el diverso de actividades agrícolas, ganaderas, silvícolas o pesqueras; sin que se estableciera un mecanismo de transitoriedad que permitiera a los contribuyentes adaptarse a este nuevo sistema de tributación, por lo que se vieron afectadas las decisiones de negocio, estrategias comerciales, planeaciones financieras y futuros negocios que se habían diseñado conforme al anterior régimen tributario [p. 112].”</w:t>
      </w:r>
      <w:r w:rsidDel="00000000" w:rsidR="00000000" w:rsidRPr="00000000">
        <w:rPr>
          <w:rFonts w:ascii="Lucida Sans" w:cs="Lucida Sans" w:eastAsia="Lucida Sans" w:hAnsi="Lucida Sans"/>
          <w:i w:val="1"/>
          <w:iCs w:val="1"/>
          <w:sz w:val="20"/>
          <w:szCs w:val="20"/>
          <w:vertAlign w:val="superscript"/>
        </w:rPr>
        <w:footnoteReference w:customMarkFollows="0" w:id="10"/>
      </w: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142">
      <w:pPr>
        <w:tabs>
          <w:tab w:val="left" w:leader="none" w:pos="5529"/>
        </w:tabs>
        <w:spacing w:line="240" w:lineRule="auto"/>
        <w:ind w:left="360" w:right="-1137" w:firstLine="0"/>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43">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De lo anterior se desprende que el argumento central de las quejosas se basó en que el legislador, de manera abrupta, suprimió el régimen simplificado para sustituirlo por el de actividades agrícolas, ganaderas, silvícolas o pesqueras. En relación con ello, se indica que las sociedades demandantes también expresaron lo siguiente:</w:t>
      </w:r>
    </w:p>
    <w:p w:rsidR="00000000" w:rsidDel="00000000" w:rsidP="00000000" w:rsidRDefault="00000000" w:rsidRPr="00000000" w14:paraId="00000144">
      <w:pPr>
        <w:shd w:fill="ffffff" w:val="clear"/>
        <w:tabs>
          <w:tab w:val="left" w:leader="none" w:pos="5529"/>
        </w:tabs>
        <w:spacing w:line="240" w:lineRule="auto"/>
        <w:ind w:right="-1137"/>
        <w:jc w:val="both"/>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45">
      <w:pPr>
        <w:shd w:fill="ffffff" w:val="clear"/>
        <w:tabs>
          <w:tab w:val="left" w:leader="none" w:pos="5529"/>
        </w:tabs>
        <w:spacing w:line="240" w:lineRule="auto"/>
        <w:ind w:left="720" w:right="1129"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“…que el principio de confianza legítima obliga a las autoridades a no variar las condiciones de sus actos, con la finalidad de proteger a los gobernados de decisiones arbitrarias e inesperadas que pudieran violentar su seguridad jurídica y causar incertidumbre jurídica” [pp. 112].</w:t>
      </w:r>
      <w:r w:rsidDel="00000000" w:rsidR="00000000" w:rsidRPr="00000000">
        <w:rPr>
          <w:rFonts w:ascii="Lucida Sans" w:cs="Lucida Sans" w:eastAsia="Lucida Sans" w:hAnsi="Lucida Sans"/>
          <w:i w:val="1"/>
          <w:iCs w:val="1"/>
          <w:sz w:val="20"/>
          <w:szCs w:val="20"/>
          <w:vertAlign w:val="superscript"/>
        </w:rPr>
        <w:footnoteReference w:customMarkFollows="0" w:id="11"/>
      </w:r>
      <w:r w:rsidDel="00000000" w:rsidR="00000000" w:rsidRPr="00000000">
        <w:rPr>
          <w:rtl w:val="0"/>
        </w:rPr>
      </w:r>
    </w:p>
    <w:p w:rsidR="00000000" w:rsidDel="00000000" w:rsidP="00000000" w:rsidRDefault="00000000" w:rsidRPr="00000000" w14:paraId="00000146">
      <w:pPr>
        <w:tabs>
          <w:tab w:val="left" w:leader="none" w:pos="5529"/>
        </w:tabs>
        <w:spacing w:line="240" w:lineRule="auto"/>
        <w:ind w:left="360" w:right="-1137" w:firstLine="0"/>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47">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Tras analizar varios precedentes del Tribunal de Justicia de la Comunidad Europea, así como del Tribunal Supremo y del Tribunal Constitucional de España, la Corte llegó a la siguiente conclusión:</w:t>
      </w:r>
    </w:p>
    <w:p w:rsidR="00000000" w:rsidDel="00000000" w:rsidP="00000000" w:rsidRDefault="00000000" w:rsidRPr="00000000" w14:paraId="00000148">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49">
      <w:pPr>
        <w:tabs>
          <w:tab w:val="left" w:leader="none" w:pos="5529"/>
        </w:tabs>
        <w:spacing w:line="240" w:lineRule="auto"/>
        <w:ind w:left="360" w:right="1129"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“De los orígenes y pronunciamientos de órganos jurisdiccionales antes referidos, se advierte que el principio de confianza legítima se acuñó con motivo de la existencia de actos de la administración en los que había concedido determinados derechos o, en su caso, había tolerado conductas no reguladas expresamente durante un periodo prolongado o, en otros supuestos, había incurrido en un silencio administrativo por tiempo indefinido ante peticiones de los particulares y, posteriormente, de forma intempestiva y sin normas jurídicas que sirvieran de fundamento para ello, la administración cambió de parecer y modificó el acto anteriormente emitido y prohibió la conducta que no tenía regulación y que había sido tolerada [p. 125].” </w:t>
      </w:r>
      <w:r w:rsidDel="00000000" w:rsidR="00000000" w:rsidRPr="00000000">
        <w:rPr>
          <w:rFonts w:ascii="Lucida Sans" w:cs="Lucida Sans" w:eastAsia="Lucida Sans" w:hAnsi="Lucida Sans"/>
          <w:i w:val="1"/>
          <w:iCs w:val="1"/>
          <w:sz w:val="20"/>
          <w:szCs w:val="20"/>
          <w:vertAlign w:val="superscript"/>
        </w:rPr>
        <w:footnoteReference w:customMarkFollows="0" w:id="12"/>
      </w:r>
      <w:r w:rsidDel="00000000" w:rsidR="00000000" w:rsidRPr="00000000">
        <w:rPr>
          <w:rtl w:val="0"/>
        </w:rPr>
      </w:r>
    </w:p>
    <w:p w:rsidR="00000000" w:rsidDel="00000000" w:rsidP="00000000" w:rsidRDefault="00000000" w:rsidRPr="00000000" w14:paraId="0000014A">
      <w:pPr>
        <w:tabs>
          <w:tab w:val="left" w:leader="none" w:pos="5529"/>
        </w:tabs>
        <w:spacing w:line="240" w:lineRule="auto"/>
        <w:ind w:left="360" w:right="-1137" w:firstLine="0"/>
        <w:jc w:val="both"/>
        <w:rPr>
          <w:rFonts w:ascii="Lucida Sans" w:cs="Lucida Sans" w:eastAsia="Lucida Sans" w:hAnsi="Lucida Sans"/>
          <w:i w:val="1"/>
          <w:iCs w:val="1"/>
          <w:sz w:val="20"/>
          <w:szCs w:val="20"/>
        </w:rPr>
      </w:pPr>
      <w:r w:rsidDel="00000000" w:rsidR="00000000" w:rsidRPr="00000000">
        <w:rPr>
          <w:rtl w:val="0"/>
        </w:rPr>
      </w:r>
    </w:p>
    <w:p w:rsidR="00000000" w:rsidDel="00000000" w:rsidP="00000000" w:rsidRDefault="00000000" w:rsidRPr="00000000" w14:paraId="0000014B">
      <w:pPr>
        <w:shd w:fill="ffffff" w:val="clear"/>
        <w:tabs>
          <w:tab w:val="left" w:leader="none" w:pos="5529"/>
        </w:tabs>
        <w:spacing w:line="240" w:lineRule="auto"/>
        <w:ind w:right="562"/>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Luego de esta aclaración, la Suprema Corte indicó que el principio de confianza legítima podría considerarse una manifestación del derecho a la seguridad jurídica, establecido en los artículos 14 y 16 de la Constitución. En este sentido, agregó que:</w:t>
      </w:r>
    </w:p>
    <w:p w:rsidR="00000000" w:rsidDel="00000000" w:rsidP="00000000" w:rsidRDefault="00000000" w:rsidRPr="00000000" w14:paraId="0000014C">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4D">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“…la confianza legítima constituye una manifestación del principio de seguridad jurídica, en su faceta de interdicción o prohibición de la arbitrariedad o del exceso, en virtud de la cual, en el caso de que la actuación de los poderes públicos haya creado en una persona interesada confianza en la estabilidad de sus actos, éstos no pueden modificarse de forma imprevisible e intempestiva, salvo el supuesto en que así lo exija el interés público [p. 128].” </w:t>
      </w:r>
      <w:r w:rsidDel="00000000" w:rsidR="00000000" w:rsidRPr="00000000">
        <w:rPr>
          <w:rFonts w:ascii="Lucida Sans" w:cs="Lucida Sans" w:eastAsia="Lucida Sans" w:hAnsi="Lucida Sans"/>
          <w:i w:val="1"/>
          <w:iCs w:val="1"/>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14E">
      <w:pPr>
        <w:tabs>
          <w:tab w:val="left" w:leader="none" w:pos="5529"/>
        </w:tabs>
        <w:spacing w:line="240" w:lineRule="auto"/>
        <w:ind w:left="360" w:right="-1137" w:firstLine="0"/>
        <w:jc w:val="both"/>
        <w:rPr>
          <w:rFonts w:ascii="Lucida Sans" w:cs="Lucida Sans" w:eastAsia="Lucida Sans" w:hAnsi="Lucida Sans"/>
          <w:i w:val="1"/>
          <w:iCs w:val="1"/>
          <w:sz w:val="24"/>
          <w:szCs w:val="24"/>
        </w:rPr>
      </w:pPr>
      <w:r w:rsidDel="00000000" w:rsidR="00000000" w:rsidRPr="00000000">
        <w:rPr>
          <w:rtl w:val="0"/>
        </w:rPr>
      </w:r>
    </w:p>
    <w:p w:rsidR="00000000" w:rsidDel="00000000" w:rsidP="00000000" w:rsidRDefault="00000000" w:rsidRPr="00000000" w14:paraId="0000014F">
      <w:pPr>
        <w:shd w:fill="ffffff" w:val="clear"/>
        <w:tabs>
          <w:tab w:val="left" w:leader="none" w:pos="5529"/>
        </w:tabs>
        <w:spacing w:line="240" w:lineRule="auto"/>
        <w:ind w:right="556"/>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Corte explicó que el principio de confianza legítima presenta variaciones según si se alega en relación con actos administrativos o legislativos. Además, indicó que, en el caso de los actos administrativos:</w:t>
      </w:r>
    </w:p>
    <w:p w:rsidR="00000000" w:rsidDel="00000000" w:rsidP="00000000" w:rsidRDefault="00000000" w:rsidRPr="00000000" w14:paraId="00000150">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1">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…la confianza legítima debe entenderse como la tutela a las expectativas razonablemente creadas, en favor del gobernado, a partir de las acciones y omisiones del Estado, las cuales hayan generado en el particular la estabilidad de cierta decisión de la autoridad, a partir del cual haya ajustado su conducta, pero que con motivo de un cambio súbito e imprevisible, se vea quebrantada esa expectativa [p. 129].</w:t>
      </w:r>
      <w:r w:rsidDel="00000000" w:rsidR="00000000" w:rsidRPr="00000000">
        <w:rPr>
          <w:rFonts w:ascii="Lucida Sans" w:cs="Lucida Sans" w:eastAsia="Lucida Sans" w:hAnsi="Lucida Sans"/>
          <w:i w:val="1"/>
          <w:iCs w:val="1"/>
          <w:sz w:val="20"/>
          <w:szCs w:val="20"/>
          <w:vertAlign w:val="superscript"/>
        </w:rPr>
        <w:footnoteReference w:customMarkFollows="0" w:id="14"/>
      </w:r>
      <w:r w:rsidDel="00000000" w:rsidR="00000000" w:rsidRPr="00000000">
        <w:rPr>
          <w:rtl w:val="0"/>
        </w:rPr>
      </w:r>
    </w:p>
    <w:p w:rsidR="00000000" w:rsidDel="00000000" w:rsidP="00000000" w:rsidRDefault="00000000" w:rsidRPr="00000000" w14:paraId="00000152">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tl w:val="0"/>
        </w:rPr>
      </w:r>
    </w:p>
    <w:p w:rsidR="00000000" w:rsidDel="00000000" w:rsidP="00000000" w:rsidRDefault="00000000" w:rsidRPr="00000000" w14:paraId="00000153">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sz w:val="20"/>
          <w:szCs w:val="20"/>
          <w:rtl w:val="0"/>
        </w:rPr>
        <w:t xml:space="preserve">Por otro lado, cuando se trata de actos legislativos, precisó que </w:t>
      </w:r>
      <w:r w:rsidDel="00000000" w:rsidR="00000000" w:rsidRPr="00000000">
        <w:rPr>
          <w:rFonts w:ascii="Lucida Sans" w:cs="Lucida Sans" w:eastAsia="Lucida Sans" w:hAnsi="Lucida Sans"/>
          <w:i w:val="1"/>
          <w:iCs w:val="1"/>
          <w:sz w:val="20"/>
          <w:szCs w:val="20"/>
          <w:rtl w:val="0"/>
        </w:rPr>
        <w:t xml:space="preserve">“…el principio de confianza legítima debe invocarse bajo la perspectiva de irretroactividad de normas, lo cual en nuestro orden jurídico se encuentra consagrado en el artículo 14 de la Constitución Política de los Estados Unidos Mexicanos [p. 130].”</w:t>
      </w:r>
      <w:r w:rsidDel="00000000" w:rsidR="00000000" w:rsidRPr="00000000">
        <w:rPr>
          <w:rFonts w:ascii="Lucida Sans" w:cs="Lucida Sans" w:eastAsia="Lucida Sans" w:hAnsi="Lucida Sans"/>
          <w:i w:val="1"/>
          <w:iCs w:val="1"/>
          <w:sz w:val="20"/>
          <w:szCs w:val="20"/>
          <w:vertAlign w:val="superscript"/>
        </w:rPr>
        <w:footnoteReference w:customMarkFollows="0" w:id="15"/>
      </w:r>
      <w:r w:rsidDel="00000000" w:rsidR="00000000" w:rsidRPr="00000000">
        <w:rPr>
          <w:rtl w:val="0"/>
        </w:rPr>
      </w:r>
    </w:p>
    <w:p w:rsidR="00000000" w:rsidDel="00000000" w:rsidP="00000000" w:rsidRDefault="00000000" w:rsidRPr="00000000" w14:paraId="00000154">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5">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este sentido, la Corte concluyó que proteger simples expectativas de derecho frente a actos legislativos conduciría a una "petrificación" del orden jurídico, impidiendo su evolución y afectando la capacidad del legislador para adaptar las normas a las necesidades sociales. En otras palabras, restringió significativamente la aplicación del principio de confianza legítima en el ámbito legislativo.</w:t>
      </w:r>
    </w:p>
    <w:p w:rsidR="00000000" w:rsidDel="00000000" w:rsidP="00000000" w:rsidRDefault="00000000" w:rsidRPr="00000000" w14:paraId="00000156">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7">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 importante considerar que los casos analizados, de los cuales se derivaron las tesis publicadas, se centraron en el principio de confianza legítima aplicado a actos legislativos.</w:t>
      </w:r>
    </w:p>
    <w:p w:rsidR="00000000" w:rsidDel="00000000" w:rsidP="00000000" w:rsidRDefault="00000000" w:rsidRPr="00000000" w14:paraId="00000158">
      <w:pPr>
        <w:shd w:fill="ffffff" w:val="clear"/>
        <w:tabs>
          <w:tab w:val="left" w:leader="none" w:pos="5529"/>
        </w:tabs>
        <w:spacing w:line="240" w:lineRule="auto"/>
        <w:ind w:right="556"/>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9">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No obstante, en el presente caso, la interpretación de dicho principio adquiere un matiz distinto, ya que se examinan los derechos patrimoniales de quienes somos titulares de un título de concesión agua vinculado con una propiedad para cultivo para el ramo de la agricultura. Por ello, resulta pertinente tomar como referencia la jurisprudencia de la Corte Constitucional de Colombia, dado que este tribunal ha abordado el principio de confianza legítima en múltiples ocasiones, evidenciando su aplicación en contextos más cercanos al que nos ocupa. En este sentido, dicha Corte ha establecido que el principio de confianza legítima: </w:t>
      </w:r>
    </w:p>
    <w:p w:rsidR="00000000" w:rsidDel="00000000" w:rsidP="00000000" w:rsidRDefault="00000000" w:rsidRPr="00000000" w14:paraId="0000015A">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B">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“…consiste en que la administración por medio de su conducta uniforme hace entender al administrado que su actuación es tolerada. Es decir, que las acciones de la administración durante un tiempo prudencial hacen nacer en el administrado la expectativa de que su comportamiento es ajustado a derecho [párr. 5.2].”</w:t>
      </w:r>
      <w:r w:rsidDel="00000000" w:rsidR="00000000" w:rsidRPr="00000000">
        <w:rPr>
          <w:rFonts w:ascii="Lucida Sans" w:cs="Lucida Sans" w:eastAsia="Lucida Sans" w:hAnsi="Lucida Sans"/>
          <w:i w:val="1"/>
          <w:iCs w:val="1"/>
          <w:sz w:val="20"/>
          <w:szCs w:val="20"/>
          <w:vertAlign w:val="superscript"/>
        </w:rPr>
        <w:footnoteReference w:customMarkFollows="0" w:id="16"/>
      </w:r>
      <w:r w:rsidDel="00000000" w:rsidR="00000000" w:rsidRPr="00000000">
        <w:rPr>
          <w:rtl w:val="0"/>
        </w:rPr>
      </w:r>
    </w:p>
    <w:p w:rsidR="00000000" w:rsidDel="00000000" w:rsidP="00000000" w:rsidRDefault="00000000" w:rsidRPr="00000000" w14:paraId="0000015C">
      <w:pPr>
        <w:tabs>
          <w:tab w:val="left" w:leader="none" w:pos="5529"/>
        </w:tabs>
        <w:spacing w:line="240" w:lineRule="auto"/>
        <w:ind w:left="360" w:right="-1137" w:firstLine="0"/>
        <w:jc w:val="both"/>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15D">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Del mismo modo, ha determinado que deben cumplirse ciertos requisitos para que el principio de confianza legítima sea aplicable en un caso concreto. En este sentido, ha indicado que:</w:t>
      </w:r>
    </w:p>
    <w:p w:rsidR="00000000" w:rsidDel="00000000" w:rsidP="00000000" w:rsidRDefault="00000000" w:rsidRPr="00000000" w14:paraId="0000015E">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5F">
      <w:pPr>
        <w:tabs>
          <w:tab w:val="left" w:leader="none" w:pos="5529"/>
        </w:tabs>
        <w:spacing w:line="240" w:lineRule="auto"/>
        <w:ind w:left="360" w:right="1123"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El principio de confianza legítima, particularmente, se basa en tres presupuestos: (i) la necesidad de preservar de manera perentoria el interés público; (ii) una desestabilización cierta, razonable y evidente en la relación entre la administración y los administrados; y (iii) la necesidad de adoptar medidas por un período transitorio que adecuen la actual situación a la nueva realidad [p. 7].</w:t>
      </w:r>
      <w:r w:rsidDel="00000000" w:rsidR="00000000" w:rsidRPr="00000000">
        <w:rPr>
          <w:rFonts w:ascii="Lucida Sans" w:cs="Lucida Sans" w:eastAsia="Lucida Sans" w:hAnsi="Lucida Sans"/>
          <w:i w:val="1"/>
          <w:iCs w:val="1"/>
          <w:sz w:val="20"/>
          <w:szCs w:val="20"/>
          <w:vertAlign w:val="superscript"/>
        </w:rPr>
        <w:footnoteReference w:customMarkFollows="0" w:id="17"/>
      </w:r>
      <w:r w:rsidDel="00000000" w:rsidR="00000000" w:rsidRPr="00000000">
        <w:rPr>
          <w:rtl w:val="0"/>
        </w:rPr>
      </w:r>
    </w:p>
    <w:p w:rsidR="00000000" w:rsidDel="00000000" w:rsidP="00000000" w:rsidRDefault="00000000" w:rsidRPr="00000000" w14:paraId="00000160">
      <w:pPr>
        <w:tabs>
          <w:tab w:val="left" w:leader="none" w:pos="5529"/>
        </w:tabs>
        <w:spacing w:line="240" w:lineRule="auto"/>
        <w:ind w:left="360" w:right="-1137" w:firstLine="0"/>
        <w:jc w:val="both"/>
        <w:rPr>
          <w:rFonts w:ascii="Lucida Sans" w:cs="Lucida Sans" w:eastAsia="Lucida Sans" w:hAnsi="Lucida Sans"/>
          <w:i w:val="1"/>
          <w:iCs w:val="1"/>
          <w:sz w:val="24"/>
          <w:szCs w:val="24"/>
        </w:rPr>
      </w:pPr>
      <w:r w:rsidDel="00000000" w:rsidR="00000000" w:rsidRPr="00000000">
        <w:rPr>
          <w:rtl w:val="0"/>
        </w:rPr>
      </w:r>
    </w:p>
    <w:p w:rsidR="00000000" w:rsidDel="00000000" w:rsidP="00000000" w:rsidRDefault="00000000" w:rsidRPr="00000000" w14:paraId="00000161">
      <w:pP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Como se puede observar el principio de confianza legítima sólo adquiere relevancia cuando se cumplen ciertos requisitos. Este principio guarda una estrecha relación con los actos legislativos aunque parece tener una aplicación más limitada, que la Corte ha establecido es conforme a lo siguiente: </w:t>
      </w:r>
    </w:p>
    <w:p w:rsidR="00000000" w:rsidDel="00000000" w:rsidP="00000000" w:rsidRDefault="00000000" w:rsidRPr="00000000" w14:paraId="00000162">
      <w:pP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3">
      <w:pPr>
        <w:pBdr>
          <w:bottom w:color="000000" w:space="3" w:sz="0" w:val="none"/>
        </w:pBdr>
        <w:shd w:fill="ffffff" w:val="clear"/>
        <w:tabs>
          <w:tab w:val="left" w:leader="none" w:pos="5529"/>
        </w:tabs>
        <w:spacing w:line="240" w:lineRule="auto"/>
        <w:ind w:left="283" w:right="568" w:firstLine="0"/>
        <w:jc w:val="both"/>
        <w:rPr>
          <w:rFonts w:ascii="Lucida Sans" w:cs="Lucida Sans" w:eastAsia="Lucida Sans" w:hAnsi="Lucida Sans"/>
          <w:b w:val="1"/>
          <w:bCs w:val="1"/>
          <w:i w:val="1"/>
          <w:iCs w:val="1"/>
          <w:sz w:val="20"/>
          <w:szCs w:val="20"/>
        </w:rPr>
      </w:pPr>
      <w:r w:rsidDel="00000000" w:rsidR="00000000" w:rsidRPr="00000000">
        <w:rPr>
          <w:rFonts w:ascii="Lucida Sans" w:cs="Lucida Sans" w:eastAsia="Lucida Sans" w:hAnsi="Lucida Sans"/>
          <w:b w:val="1"/>
          <w:bCs w:val="1"/>
          <w:i w:val="1"/>
          <w:iCs w:val="1"/>
          <w:sz w:val="20"/>
          <w:szCs w:val="20"/>
          <w:rtl w:val="0"/>
        </w:rPr>
        <w:t xml:space="preserve">CONFIANZA LEGÍTIMA. SU APLICACIÓN EN EL ORDEN JURÍDICO MEXICANO RESPECTO DE ACTOS LEGISLATIVOS.</w:t>
      </w:r>
    </w:p>
    <w:p w:rsidR="00000000" w:rsidDel="00000000" w:rsidP="00000000" w:rsidRDefault="00000000" w:rsidRPr="00000000" w14:paraId="00000164">
      <w:pPr>
        <w:pBdr>
          <w:bottom w:color="000000" w:space="3" w:sz="0" w:val="none"/>
        </w:pBdr>
        <w:shd w:fill="ffffff" w:val="clear"/>
        <w:tabs>
          <w:tab w:val="left" w:leader="none" w:pos="5529"/>
        </w:tabs>
        <w:spacing w:line="240" w:lineRule="auto"/>
        <w:ind w:left="283" w:right="568" w:firstLine="0"/>
        <w:jc w:val="both"/>
        <w:rPr>
          <w:rFonts w:ascii="Lucida Sans" w:cs="Lucida Sans" w:eastAsia="Lucida Sans" w:hAnsi="Lucida Sans"/>
          <w:i w:val="1"/>
          <w:iCs w:val="1"/>
          <w:sz w:val="20"/>
          <w:szCs w:val="20"/>
        </w:rPr>
      </w:pPr>
      <w:r w:rsidDel="00000000" w:rsidR="00000000" w:rsidRPr="00000000">
        <w:rPr>
          <w:rtl w:val="0"/>
        </w:rPr>
      </w:r>
    </w:p>
    <w:p w:rsidR="00000000" w:rsidDel="00000000" w:rsidP="00000000" w:rsidRDefault="00000000" w:rsidRPr="00000000" w14:paraId="00000165">
      <w:pPr>
        <w:pBdr>
          <w:bottom w:color="000000" w:space="3" w:sz="0" w:val="none"/>
        </w:pBdr>
        <w:shd w:fill="ffffff" w:val="clear"/>
        <w:tabs>
          <w:tab w:val="left" w:leader="none" w:pos="5529"/>
        </w:tabs>
        <w:spacing w:line="240" w:lineRule="auto"/>
        <w:ind w:left="283" w:right="568" w:firstLine="0"/>
        <w:jc w:val="both"/>
        <w:rPr>
          <w:rFonts w:ascii="Lucida Sans" w:cs="Lucida Sans" w:eastAsia="Lucida Sans" w:hAnsi="Lucida Sans"/>
          <w:sz w:val="20"/>
          <w:szCs w:val="20"/>
        </w:rPr>
      </w:pPr>
      <w:r w:rsidDel="00000000" w:rsidR="00000000" w:rsidRPr="00000000">
        <w:rPr>
          <w:rFonts w:ascii="Lucida Sans" w:cs="Lucida Sans" w:eastAsia="Lucida Sans" w:hAnsi="Lucida Sans"/>
          <w:i w:val="1"/>
          <w:iCs w:val="1"/>
          <w:sz w:val="20"/>
          <w:szCs w:val="20"/>
          <w:rtl w:val="0"/>
        </w:rPr>
        <w:t xml:space="preserve">La figura de mérito, en relación con el tipo de actos referidos, debe invocarse bajo la perspectiva de irretroactividad de las normas consagrada en el artículo 14 de la Constitución Política de los Estados Unidos Mexicanos, porque pretender tutelar meras expectativas de derecho contra los actos legislativos equivaldría a la congelación del derecho, a su inmovilización total o parcial y el consecuente cierre definitivo a los cambios sociales, políticos o económicos, lo cual sería contrario al Estado de derecho democrático y a la facultad que, en éste, tiene el legislador de ajustar la norma a las cambiantes necesidades de la sociedad y de la realidad. Además, específicamente en el ámbito tributario, su diseño por vía de leyes es facultad del Congreso de la Unión y, por ende, conlleva un margen amplio de libertad de configuración, de modo que no existe un derecho constitucionalmente tutelado para que el sistema tributario permanezca inmodificable y estático, sino por el contrario resulta indispensable para el poder público adaptar la normativa fiscal al contexto económico, tanto nacional e internacional, así como a las necesidades públicas. Aunado a ello, la modificación de las normas tributarias tiene, por regla general, un fin de interés público que es preponderante al interés particular de cada contribuyente, pues con base en el principio de generalidad tributaria se tutela el interés del Estado en la percepción de ingresos, que es un interés público encaminado a atender necesidades sociales relevantes con amplio respaldo o tutela constitucional, así como la necesidad de basar la contribución de los ciudadanos para sostener los gastos públicos en criterios de solidaridad. </w:t>
      </w:r>
      <w:r w:rsidDel="00000000" w:rsidR="00000000" w:rsidRPr="00000000">
        <w:rPr>
          <w:rFonts w:ascii="Lucida Sans" w:cs="Lucida Sans" w:eastAsia="Lucida Sans" w:hAnsi="Lucida Sans"/>
          <w:b w:val="1"/>
          <w:bCs w:val="1"/>
          <w:i w:val="1"/>
          <w:iCs w:val="1"/>
          <w:sz w:val="20"/>
          <w:szCs w:val="20"/>
          <w:rtl w:val="0"/>
        </w:rPr>
        <w:t xml:space="preserve">Por tanto, la confianza legítima no tiene el alcance de oponer al legislador meras expectativas de derecho para cuestionar la regularidad constitucional de los actos </w:t>
      </w:r>
      <w:r w:rsidDel="00000000" w:rsidR="00000000" w:rsidRPr="00000000">
        <w:rPr>
          <w:rFonts w:ascii="Lucida Sans" w:cs="Lucida Sans" w:eastAsia="Lucida Sans" w:hAnsi="Lucida Sans"/>
          <w:i w:val="1"/>
          <w:iCs w:val="1"/>
          <w:sz w:val="20"/>
          <w:szCs w:val="20"/>
          <w:rtl w:val="0"/>
        </w:rPr>
        <w:t xml:space="preserve">en los que se determina el establecimiento, modificación o supresión de regulaciones en materia de contribuciones, debido a la imposibilidad del contribuyente de contar con la esperanza de que una tasa, tarifa e incluso un régimen de tributación permanezcan inmodificables hacia el futuro.</w:t>
      </w:r>
      <w:r w:rsidDel="00000000" w:rsidR="00000000" w:rsidRPr="00000000">
        <w:rPr>
          <w:rFonts w:ascii="Lucida Sans" w:cs="Lucida Sans" w:eastAsia="Lucida Sans" w:hAnsi="Lucida Sans"/>
          <w:sz w:val="20"/>
          <w:szCs w:val="20"/>
          <w:vertAlign w:val="superscript"/>
        </w:rPr>
        <w:footnoteReference w:customMarkFollows="0" w:id="18"/>
      </w:r>
      <w:r w:rsidDel="00000000" w:rsidR="00000000" w:rsidRPr="00000000">
        <w:rPr>
          <w:rtl w:val="0"/>
        </w:rPr>
      </w:r>
    </w:p>
    <w:p w:rsidR="00000000" w:rsidDel="00000000" w:rsidP="00000000" w:rsidRDefault="00000000" w:rsidRPr="00000000" w14:paraId="00000166">
      <w:pPr>
        <w:pBdr>
          <w:bottom w:color="000000" w:space="3" w:sz="0" w:val="none"/>
        </w:pBd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7">
      <w:pPr>
        <w:pBdr>
          <w:bottom w:color="000000" w:space="3" w:sz="0" w:val="none"/>
        </w:pBdr>
        <w:shd w:fill="ffffff" w:val="clea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Además de forma general el principio se entiende en estos términos: </w:t>
      </w:r>
    </w:p>
    <w:p w:rsidR="00000000" w:rsidDel="00000000" w:rsidP="00000000" w:rsidRDefault="00000000" w:rsidRPr="00000000" w14:paraId="00000168">
      <w:pPr>
        <w:pBdr>
          <w:bottom w:color="000000" w:space="3" w:sz="0" w:val="none"/>
        </w:pBdr>
        <w:shd w:fill="ffffff" w:val="clea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9">
      <w:pPr>
        <w:pBdr>
          <w:bottom w:color="000000" w:space="3" w:sz="0" w:val="none"/>
        </w:pBdr>
        <w:shd w:fill="ffffff" w:val="clear"/>
        <w:tabs>
          <w:tab w:val="left" w:leader="none" w:pos="5529"/>
        </w:tabs>
        <w:spacing w:line="240" w:lineRule="auto"/>
        <w:ind w:left="283" w:right="568" w:firstLine="0"/>
        <w:jc w:val="both"/>
        <w:rPr>
          <w:rFonts w:ascii="Lucida Sans" w:cs="Lucida Sans" w:eastAsia="Lucida Sans" w:hAnsi="Lucida Sans"/>
          <w:b w:val="1"/>
          <w:bCs w:val="1"/>
          <w:i w:val="1"/>
          <w:iCs w:val="1"/>
          <w:sz w:val="20"/>
          <w:szCs w:val="20"/>
        </w:rPr>
      </w:pPr>
      <w:r w:rsidDel="00000000" w:rsidR="00000000" w:rsidRPr="00000000">
        <w:rPr>
          <w:rFonts w:ascii="Lucida Sans" w:cs="Lucida Sans" w:eastAsia="Lucida Sans" w:hAnsi="Lucida Sans"/>
          <w:b w:val="1"/>
          <w:bCs w:val="1"/>
          <w:i w:val="1"/>
          <w:iCs w:val="1"/>
          <w:sz w:val="20"/>
          <w:szCs w:val="20"/>
          <w:rtl w:val="0"/>
        </w:rPr>
        <w:t xml:space="preserve">CONFIANZA LEGÍTIMA. CONSTITUYE UNA MANIFESTACIÓN DEL DERECHO A LA SEGURIDAD JURÍDICA, EN SU FACETA DE INTERDICCIÓN DE LA ARBITRARIEDAD.</w:t>
      </w:r>
    </w:p>
    <w:p w:rsidR="00000000" w:rsidDel="00000000" w:rsidP="00000000" w:rsidRDefault="00000000" w:rsidRPr="00000000" w14:paraId="0000016A">
      <w:pPr>
        <w:pBdr>
          <w:bottom w:color="000000" w:space="3" w:sz="0" w:val="none"/>
        </w:pBdr>
        <w:shd w:fill="ffffff" w:val="clear"/>
        <w:tabs>
          <w:tab w:val="left" w:leader="none" w:pos="5529"/>
        </w:tabs>
        <w:spacing w:line="240" w:lineRule="auto"/>
        <w:ind w:right="568" w:firstLine="283"/>
        <w:jc w:val="both"/>
        <w:rPr>
          <w:rFonts w:ascii="Lucida Sans" w:cs="Lucida Sans" w:eastAsia="Lucida Sans" w:hAnsi="Lucida Sans"/>
          <w:i w:val="1"/>
          <w:iCs w:val="1"/>
          <w:sz w:val="20"/>
          <w:szCs w:val="20"/>
        </w:rPr>
      </w:pPr>
      <w:r w:rsidDel="00000000" w:rsidR="00000000" w:rsidRPr="00000000">
        <w:rPr>
          <w:rtl w:val="0"/>
        </w:rPr>
      </w:r>
    </w:p>
    <w:p w:rsidR="00000000" w:rsidDel="00000000" w:rsidP="00000000" w:rsidRDefault="00000000" w:rsidRPr="00000000" w14:paraId="0000016B">
      <w:pPr>
        <w:pBdr>
          <w:bottom w:color="000000" w:space="3" w:sz="0" w:val="none"/>
        </w:pBdr>
        <w:shd w:fill="ffffff" w:val="clear"/>
        <w:tabs>
          <w:tab w:val="left" w:leader="none" w:pos="5529"/>
        </w:tabs>
        <w:spacing w:line="240" w:lineRule="auto"/>
        <w:ind w:left="425" w:right="568" w:firstLine="0"/>
        <w:jc w:val="both"/>
        <w:rPr>
          <w:rFonts w:ascii="Lucida Sans" w:cs="Lucida Sans" w:eastAsia="Lucida Sans" w:hAnsi="Lucida Sans"/>
          <w:sz w:val="20"/>
          <w:szCs w:val="20"/>
        </w:rPr>
      </w:pPr>
      <w:r w:rsidDel="00000000" w:rsidR="00000000" w:rsidRPr="00000000">
        <w:rPr>
          <w:rFonts w:ascii="Lucida Sans" w:cs="Lucida Sans" w:eastAsia="Lucida Sans" w:hAnsi="Lucida Sans"/>
          <w:b w:val="1"/>
          <w:bCs w:val="1"/>
          <w:i w:val="1"/>
          <w:iCs w:val="1"/>
          <w:sz w:val="20"/>
          <w:szCs w:val="20"/>
          <w:rtl w:val="0"/>
        </w:rPr>
        <w:t xml:space="preserve">El derecho a la seguridad jurídica, reconocido en los artículos 14 y 16 de la Constitución Política de los Estados Unidos Mexicanos, </w:t>
      </w:r>
      <w:r w:rsidDel="00000000" w:rsidR="00000000" w:rsidRPr="00000000">
        <w:rPr>
          <w:rFonts w:ascii="Lucida Sans" w:cs="Lucida Sans" w:eastAsia="Lucida Sans" w:hAnsi="Lucida Sans"/>
          <w:i w:val="1"/>
          <w:iCs w:val="1"/>
          <w:sz w:val="20"/>
          <w:szCs w:val="20"/>
          <w:rtl w:val="0"/>
        </w:rPr>
        <w:t xml:space="preserve">tutela la prerrogativa del gobernado a no encontrarse jamás en una situación de incertidumbre jurídica y, en consecuencia, en un estado de indefensión; s</w:t>
      </w:r>
      <w:r w:rsidDel="00000000" w:rsidR="00000000" w:rsidRPr="00000000">
        <w:rPr>
          <w:rFonts w:ascii="Lucida Sans" w:cs="Lucida Sans" w:eastAsia="Lucida Sans" w:hAnsi="Lucida Sans"/>
          <w:b w:val="1"/>
          <w:bCs w:val="1"/>
          <w:i w:val="1"/>
          <w:iCs w:val="1"/>
          <w:sz w:val="20"/>
          <w:szCs w:val="20"/>
          <w:rtl w:val="0"/>
        </w:rPr>
        <w:t xml:space="preserve">u esencia versa sobre la premisa consistente en</w:t>
      </w:r>
      <w:r w:rsidDel="00000000" w:rsidR="00000000" w:rsidRPr="00000000">
        <w:rPr>
          <w:rFonts w:ascii="Lucida Sans" w:cs="Lucida Sans" w:eastAsia="Lucida Sans" w:hAnsi="Lucida Sans"/>
          <w:b w:val="1"/>
          <w:bCs w:val="1"/>
          <w:i w:val="1"/>
          <w:iCs w:val="1"/>
          <w:sz w:val="24"/>
          <w:szCs w:val="24"/>
          <w:rtl w:val="0"/>
        </w:rPr>
        <w:t xml:space="preserve"> </w:t>
      </w:r>
      <w:r w:rsidDel="00000000" w:rsidR="00000000" w:rsidRPr="00000000">
        <w:rPr>
          <w:rFonts w:ascii="Lucida Sans" w:cs="Lucida Sans" w:eastAsia="Lucida Sans" w:hAnsi="Lucida Sans"/>
          <w:b w:val="1"/>
          <w:bCs w:val="1"/>
          <w:i w:val="1"/>
          <w:iCs w:val="1"/>
          <w:sz w:val="20"/>
          <w:szCs w:val="20"/>
          <w:rtl w:val="0"/>
        </w:rPr>
        <w:t xml:space="preserve">"saber a qué atenerse" respecto del contenido de las leyes y de la propia actuación de la autoridad.</w:t>
      </w:r>
      <w:r w:rsidDel="00000000" w:rsidR="00000000" w:rsidRPr="00000000">
        <w:rPr>
          <w:rFonts w:ascii="Lucida Sans" w:cs="Lucida Sans" w:eastAsia="Lucida Sans" w:hAnsi="Lucida Sans"/>
          <w:i w:val="1"/>
          <w:iCs w:val="1"/>
          <w:sz w:val="20"/>
          <w:szCs w:val="20"/>
          <w:rtl w:val="0"/>
        </w:rPr>
        <w:t xml:space="preserve"> Sin embargo, no debe entenderse en el sentido de que el orden jurídico ha de señalar de manera especial y precisa un procedimiento para regular cada una de las relaciones que se entablen entre las autoridades y los particulares, sino que debe contener los elementos mínimos para hacer valer el correlativo derecho del gobernado y para que, sobre este aspecto, la autoridad no incurra en arbitrariedades. De lo anterior, puede considerarse la confianza legítima como una manifestación del derecho a la seguridad jurídica, </w:t>
      </w:r>
      <w:r w:rsidDel="00000000" w:rsidR="00000000" w:rsidRPr="00000000">
        <w:rPr>
          <w:rFonts w:ascii="Lucida Sans" w:cs="Lucida Sans" w:eastAsia="Lucida Sans" w:hAnsi="Lucida Sans"/>
          <w:b w:val="1"/>
          <w:bCs w:val="1"/>
          <w:i w:val="1"/>
          <w:iCs w:val="1"/>
          <w:sz w:val="20"/>
          <w:szCs w:val="20"/>
          <w:rtl w:val="0"/>
        </w:rPr>
        <w:t xml:space="preserve">en su faceta de interdicción o prohibición de la arbitrariedad o del exceso, en virtud de la cual, en el caso de que la actuación de los poderes públicos haya creado en una persona interesada confianza en la estabilidad de sus actos, éstos no pueden modificarse de forma imprevisible e intempestiva, salvo el supuesto en que así lo exija el interés público. </w:t>
      </w:r>
      <w:r w:rsidDel="00000000" w:rsidR="00000000" w:rsidRPr="00000000">
        <w:rPr>
          <w:rFonts w:ascii="Lucida Sans" w:cs="Lucida Sans" w:eastAsia="Lucida Sans" w:hAnsi="Lucida Sans"/>
          <w:i w:val="1"/>
          <w:iCs w:val="1"/>
          <w:sz w:val="20"/>
          <w:szCs w:val="20"/>
          <w:rtl w:val="0"/>
        </w:rPr>
        <w:t xml:space="preserve">Al respecto, cabe precisar que, atendiendo a las características de todo Estado democrático, la confianza legítima adquiere diversos matices dependiendo de si se pretende invocar frente a actos administrativos o actos legislativos.</w:t>
      </w:r>
      <w:r w:rsidDel="00000000" w:rsidR="00000000" w:rsidRPr="00000000">
        <w:rPr>
          <w:rFonts w:ascii="Lucida Sans" w:cs="Lucida Sans" w:eastAsia="Lucida Sans" w:hAnsi="Lucida Sans"/>
          <w:sz w:val="20"/>
          <w:szCs w:val="20"/>
          <w:vertAlign w:val="superscript"/>
        </w:rPr>
        <w:footnoteReference w:customMarkFollows="0" w:id="19"/>
      </w:r>
      <w:r w:rsidDel="00000000" w:rsidR="00000000" w:rsidRPr="00000000">
        <w:rPr>
          <w:rtl w:val="0"/>
        </w:rPr>
      </w:r>
    </w:p>
    <w:p w:rsidR="00000000" w:rsidDel="00000000" w:rsidP="00000000" w:rsidRDefault="00000000" w:rsidRPr="00000000" w14:paraId="0000016C">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D">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Por lo que respecta al caso concreto la reforma prevé que los derechos amparados en las concesiones y asignaciones no serán objeto de transmisión y que la reasignación solo podrá realizarse previo análisis y autorización de la “Autoridad del Agua” mediante un nuevo título de concesión o asignación, lo que no solo transforma la naturaleza de las concesiones y asignaciones previamente adquiridas a favor de quienes ejercemos la actividad agrícola, sino que también vulnera el principio de confianza legítima. </w:t>
      </w:r>
    </w:p>
    <w:p w:rsidR="00000000" w:rsidDel="00000000" w:rsidP="00000000" w:rsidRDefault="00000000" w:rsidRPr="00000000" w14:paraId="0000016E">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6F">
      <w:pPr>
        <w:tabs>
          <w:tab w:val="left" w:leader="none" w:pos="5529"/>
        </w:tabs>
        <w:spacing w:line="240" w:lineRule="auto"/>
        <w:ind w:right="1"/>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La necesidad de preservar de manera perentoria el interés público: </w:t>
      </w:r>
    </w:p>
    <w:p w:rsidR="00000000" w:rsidDel="00000000" w:rsidP="00000000" w:rsidRDefault="00000000" w:rsidRPr="00000000" w14:paraId="00000170">
      <w:pPr>
        <w:tabs>
          <w:tab w:val="left" w:leader="none" w:pos="5529"/>
        </w:tabs>
        <w:spacing w:line="240" w:lineRule="auto"/>
        <w:ind w:right="1"/>
        <w:jc w:val="both"/>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71">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administración pública tiene la obligación de actuar en beneficio del interés público, lo que implica proteger y garantizar los derechos de los ciudadanos, especialmente de aquellos que se encuentran en una posición de desventaja frente al Estado y su empleador, como es el caso de los agricultores del campo. </w:t>
      </w:r>
    </w:p>
    <w:p w:rsidR="00000000" w:rsidDel="00000000" w:rsidP="00000000" w:rsidRDefault="00000000" w:rsidRPr="00000000" w14:paraId="00000172">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este sentido, cualquier reforma que afecte sus derechos patrimoniales debe estar plenamente justificada y demostrar de manera clara que genera un beneficio superior para ellos. Sin embargo, en este caso, la medida no solo no demuestra que persigue un interés público perentorio, sino que además coloca a agricultores en una situación aún más vulnerable al no poder realizar la transmisión de los títulos de concesión a favor de un familiar por herencia al realizarlo como parte del patrimonio de una tierra vinculada con un título de concesión.</w:t>
      </w:r>
    </w:p>
    <w:p w:rsidR="00000000" w:rsidDel="00000000" w:rsidP="00000000" w:rsidRDefault="00000000" w:rsidRPr="00000000" w14:paraId="00000173">
      <w:pPr>
        <w:tabs>
          <w:tab w:val="left" w:leader="none" w:pos="5529"/>
        </w:tabs>
        <w:spacing w:line="240" w:lineRule="auto"/>
        <w:ind w:right="556"/>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4">
      <w:pPr>
        <w:spacing w:line="240" w:lineRule="auto"/>
        <w:jc w:val="both"/>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SEGUNDO. LA INTRODUCCIÓN DE LA POSIBILIDAD DE QUE LA “AUTORIDAD DEL AGUA” NO PERMITA LA TRANSMISIÓN DE TITULOS DE CONCESIÓN, ASIGNACIÓN O PERMISOS PREVIAMENTE ADQUIRIDOS, A TRAVES DE UN NUEVO PROCEDIMIENTO DE REASGIGACIÓN, VIOLENTA EL PRINCIPIO DE IRRETROACTIOVIDAD DE LA LEY.</w:t>
      </w:r>
    </w:p>
    <w:p w:rsidR="00000000" w:rsidDel="00000000" w:rsidP="00000000" w:rsidRDefault="00000000" w:rsidRPr="00000000" w14:paraId="00000175">
      <w:pPr>
        <w:spacing w:line="24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176">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El artículo 14 de nuestra Constitución Política, prohíbe la aplicación retroactiva de la ley: </w:t>
      </w:r>
    </w:p>
    <w:p w:rsidR="00000000" w:rsidDel="00000000" w:rsidP="00000000" w:rsidRDefault="00000000" w:rsidRPr="00000000" w14:paraId="00000177">
      <w:pPr>
        <w:spacing w:line="24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178">
      <w:pPr>
        <w:spacing w:line="240" w:lineRule="auto"/>
        <w:ind w:firstLine="708"/>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“A ninguna ley se dará efecto retroactivo en perjuicio de persona alguna”. </w:t>
      </w:r>
    </w:p>
    <w:p w:rsidR="00000000" w:rsidDel="00000000" w:rsidP="00000000" w:rsidRDefault="00000000" w:rsidRPr="00000000" w14:paraId="00000179">
      <w:pPr>
        <w:spacing w:line="240" w:lineRule="auto"/>
        <w:jc w:val="both"/>
        <w:rPr>
          <w:rFonts w:ascii="Lucida Sans" w:cs="Lucida Sans" w:eastAsia="Lucida Sans" w:hAnsi="Lucida Sans"/>
        </w:rPr>
      </w:pPr>
      <w:r w:rsidDel="00000000" w:rsidR="00000000" w:rsidRPr="00000000">
        <w:rPr>
          <w:rtl w:val="0"/>
        </w:rPr>
      </w:r>
    </w:p>
    <w:p w:rsidR="00000000" w:rsidDel="00000000" w:rsidP="00000000" w:rsidRDefault="00000000" w:rsidRPr="00000000" w14:paraId="0000017A">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prohibición responde a una exigencia de certeza jurídica, “</w:t>
      </w:r>
      <w:r w:rsidDel="00000000" w:rsidR="00000000" w:rsidRPr="00000000">
        <w:rPr>
          <w:rFonts w:ascii="Lucida Sans" w:cs="Lucida Sans" w:eastAsia="Lucida Sans" w:hAnsi="Lucida Sans"/>
          <w:i w:val="1"/>
          <w:iCs w:val="1"/>
          <w:sz w:val="24"/>
          <w:szCs w:val="24"/>
          <w:rtl w:val="0"/>
        </w:rPr>
        <w:t xml:space="preserve">El ciudadano actúa conforme a determinadas leyes y los efectos de su actuación deben interpretarse de acuerdo con las leyes vigentes en ese momento. Es decir, </w:t>
      </w:r>
      <w:r w:rsidDel="00000000" w:rsidR="00000000" w:rsidRPr="00000000">
        <w:rPr>
          <w:rFonts w:ascii="Lucida Sans" w:cs="Lucida Sans" w:eastAsia="Lucida Sans" w:hAnsi="Lucida Sans"/>
          <w:i w:val="1"/>
          <w:iCs w:val="1"/>
          <w:sz w:val="24"/>
          <w:szCs w:val="24"/>
          <w:u w:val="single"/>
          <w:rtl w:val="0"/>
        </w:rPr>
        <w:t xml:space="preserve">los derechos y las obligaciones de los individuos no pueden ser afectados por una legislación expedida después del surgimiento de ellos</w:t>
      </w:r>
      <w:r w:rsidDel="00000000" w:rsidR="00000000" w:rsidRPr="00000000">
        <w:rPr>
          <w:rFonts w:ascii="Lucida Sans" w:cs="Lucida Sans" w:eastAsia="Lucida Sans" w:hAnsi="Lucida Sans"/>
          <w:sz w:val="24"/>
          <w:szCs w:val="24"/>
          <w:rtl w:val="0"/>
        </w:rPr>
        <w:t xml:space="preserve">”.</w:t>
      </w:r>
      <w:r w:rsidDel="00000000" w:rsidR="00000000" w:rsidRPr="00000000">
        <w:rPr>
          <w:rFonts w:ascii="Lucida Sans" w:cs="Lucida Sans" w:eastAsia="Lucida Sans" w:hAnsi="Lucida Sans"/>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17B">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C">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Como se demostrará a continuación, las normas impugnadas alteran las precondiciones previamente establecidas en la norma que regula las concesión, asignación o permisos, por tanto, la forma del uso y su transmisión a favor de los agricultores y sus familias, obrando sobre el pasado con la generación de derechos de un ente público que se adjudica la posibilidad de que los recursos que administra.</w:t>
      </w:r>
    </w:p>
    <w:p w:rsidR="00000000" w:rsidDel="00000000" w:rsidP="00000000" w:rsidRDefault="00000000" w:rsidRPr="00000000" w14:paraId="0000017D">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7E">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La Suprema Corte ha emitido diversos precedentes en el que se analiza la constitucionalidad de normas evaluadas bajo este tamiz, resaltando dos aproximaciones generales para verificar la aplicación retroactiva de una ley:</w:t>
      </w:r>
    </w:p>
    <w:p w:rsidR="00000000" w:rsidDel="00000000" w:rsidP="00000000" w:rsidRDefault="00000000" w:rsidRPr="00000000" w14:paraId="0000017F">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En primer lugar, la “teoría clásica” o de derechos adquiridos que, en síntesis, propone que no se pueden afectar con una ley posterior derechos adquiridos en una ley anterior, pero sí meras expectativas jurídicas que aún no se materializan en un derecho.</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Pr>
        <w:footnoteReference w:customMarkFollows="0" w:id="21"/>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Por otra parte, la misma Suprema Corte ha desarrollado la teoría de componentes de la norma o de supuestos jurídicos. Esta teoría prevé que cada norma contiene un supuesto y consecuencia, en el que, si el supuesto se realiza, la consecuencia debe producirse, generándose así los derechos y obligaciones correspondientes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Pr>
        <w:footnoteReference w:customMarkFollows="0" w:id="22"/>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Sin embargo, el supuesto y la consecuencia no siempre se generan de modo inmediato, pues puede suceder que su realización ocurra fraccionada en el tiempo</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superscript"/>
        </w:rPr>
        <w:footnoteReference w:customMarkFollows="0" w:id="23"/>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3">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84">
      <w:pPr>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Bajo esta segunda aproximación, la Corte ha establecido que, si el supuesto y algunas de las consecuencias se realizan bajo la vigencia de una norma, quedando pendientes algunas de las consecuencias jurídicas al momento de entrar en vigor una nueva disposición jurídica, </w:t>
      </w:r>
      <w:r w:rsidDel="00000000" w:rsidR="00000000" w:rsidRPr="00000000">
        <w:rPr>
          <w:rFonts w:ascii="Lucida Sans" w:cs="Lucida Sans" w:eastAsia="Lucida Sans" w:hAnsi="Lucida Sans"/>
          <w:sz w:val="24"/>
          <w:szCs w:val="24"/>
          <w:u w:val="single"/>
          <w:rtl w:val="0"/>
        </w:rPr>
        <w:t xml:space="preserve">dicha ley no podría modificar el supuesto ni las consecuencias ya realizadas</w:t>
      </w:r>
      <w:r w:rsidDel="00000000" w:rsidR="00000000" w:rsidRPr="00000000">
        <w:rPr>
          <w:rFonts w:ascii="Lucida Sans" w:cs="Lucida Sans" w:eastAsia="Lucida Sans" w:hAnsi="Lucida Sans"/>
          <w:sz w:val="24"/>
          <w:szCs w:val="24"/>
          <w:vertAlign w:val="superscript"/>
          <w:rtl w:val="0"/>
        </w:rPr>
        <w:t xml:space="preserve"> </w:t>
      </w:r>
      <w:r w:rsidDel="00000000" w:rsidR="00000000" w:rsidRPr="00000000">
        <w:rPr>
          <w:rFonts w:ascii="Lucida Sans" w:cs="Lucida Sans" w:eastAsia="Lucida Sans" w:hAnsi="Lucida Sans"/>
          <w:sz w:val="24"/>
          <w:szCs w:val="24"/>
          <w:vertAlign w:val="superscript"/>
        </w:rPr>
        <w:footnoteReference w:customMarkFollows="0" w:id="24"/>
      </w:r>
      <w:r w:rsidDel="00000000" w:rsidR="00000000" w:rsidRPr="00000000">
        <w:rPr>
          <w:rFonts w:ascii="Lucida Sans" w:cs="Lucida Sans" w:eastAsia="Lucida Sans" w:hAnsi="Lucida Sans"/>
          <w:sz w:val="24"/>
          <w:szCs w:val="24"/>
          <w:rtl w:val="0"/>
        </w:rPr>
        <w:t xml:space="preserve">.</w:t>
      </w:r>
    </w:p>
    <w:p w:rsidR="00000000" w:rsidDel="00000000" w:rsidP="00000000" w:rsidRDefault="00000000" w:rsidRPr="00000000" w14:paraId="00000185">
      <w:pPr>
        <w:spacing w:line="240" w:lineRule="auto"/>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86">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Esto significa que la obligatoriedad constitucional del principio de progresividad conlleva, de manera implícita, la prohibición de que cualquier autoridad implemente medidas regresivas que disminuyan el nivel de protección de los derechos previamente alcanzado.</w:t>
      </w:r>
    </w:p>
    <w:p w:rsidR="00000000" w:rsidDel="00000000" w:rsidP="00000000" w:rsidRDefault="00000000" w:rsidRPr="00000000" w14:paraId="00000187">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188">
      <w:pPr>
        <w:tabs>
          <w:tab w:val="left" w:leader="none" w:pos="5529"/>
        </w:tabs>
        <w:spacing w:line="240" w:lineRule="auto"/>
        <w:ind w:left="720" w:right="568" w:firstLine="0"/>
        <w:jc w:val="both"/>
        <w:rPr>
          <w:rFonts w:ascii="Lucida Sans" w:cs="Lucida Sans" w:eastAsia="Lucida Sans" w:hAnsi="Lucida Sans"/>
          <w:b w:val="1"/>
          <w:bCs w:val="1"/>
          <w:i w:val="1"/>
          <w:iCs w:val="1"/>
          <w:sz w:val="20"/>
          <w:szCs w:val="20"/>
        </w:rPr>
      </w:pPr>
      <w:r w:rsidDel="00000000" w:rsidR="00000000" w:rsidRPr="00000000">
        <w:rPr>
          <w:rFonts w:ascii="Lucida Sans" w:cs="Lucida Sans" w:eastAsia="Lucida Sans" w:hAnsi="Lucida Sans"/>
          <w:b w:val="1"/>
          <w:bCs w:val="1"/>
          <w:i w:val="1"/>
          <w:iCs w:val="1"/>
          <w:sz w:val="20"/>
          <w:szCs w:val="20"/>
          <w:rtl w:val="0"/>
        </w:rPr>
        <w:t xml:space="preserve">PRINCIPIO DE PROGRESIVIDAD DE LOS DERECHOS HUMANOS. SU CONCEPTO Y EXIGENCIAS POSITIVAS Y NEGATIVAS.</w:t>
      </w:r>
    </w:p>
    <w:p w:rsidR="00000000" w:rsidDel="00000000" w:rsidP="00000000" w:rsidRDefault="00000000" w:rsidRPr="00000000" w14:paraId="00000189">
      <w:pPr>
        <w:tabs>
          <w:tab w:val="left" w:leader="none" w:pos="5529"/>
        </w:tabs>
        <w:spacing w:line="240" w:lineRule="auto"/>
        <w:ind w:left="720" w:right="568" w:firstLine="0"/>
        <w:jc w:val="both"/>
        <w:rPr>
          <w:rFonts w:ascii="Lucida Sans" w:cs="Lucida Sans" w:eastAsia="Lucida Sans" w:hAnsi="Lucida Sans"/>
          <w:i w:val="1"/>
          <w:iCs w:val="1"/>
          <w:sz w:val="20"/>
          <w:szCs w:val="20"/>
        </w:rPr>
      </w:pPr>
      <w:r w:rsidDel="00000000" w:rsidR="00000000" w:rsidRPr="00000000">
        <w:rPr>
          <w:rFonts w:ascii="Lucida Sans" w:cs="Lucida Sans" w:eastAsia="Lucida Sans" w:hAnsi="Lucida Sans"/>
          <w:i w:val="1"/>
          <w:iCs w:val="1"/>
          <w:sz w:val="20"/>
          <w:szCs w:val="20"/>
          <w:rtl w:val="0"/>
        </w:rPr>
        <w:t xml:space="preserve"> </w:t>
      </w:r>
    </w:p>
    <w:p w:rsidR="00000000" w:rsidDel="00000000" w:rsidP="00000000" w:rsidRDefault="00000000" w:rsidRPr="00000000" w14:paraId="0000018A">
      <w:pPr>
        <w:tabs>
          <w:tab w:val="left" w:leader="none" w:pos="5529"/>
        </w:tabs>
        <w:spacing w:line="240" w:lineRule="auto"/>
        <w:ind w:left="720" w:right="568" w:firstLine="0"/>
        <w:jc w:val="both"/>
        <w:rPr>
          <w:rFonts w:ascii="Lucida Sans" w:cs="Lucida Sans" w:eastAsia="Lucida Sans" w:hAnsi="Lucida Sans"/>
          <w:sz w:val="20"/>
          <w:szCs w:val="20"/>
        </w:rPr>
      </w:pPr>
      <w:r w:rsidDel="00000000" w:rsidR="00000000" w:rsidRPr="00000000">
        <w:rPr>
          <w:rFonts w:ascii="Lucida Sans" w:cs="Lucida Sans" w:eastAsia="Lucida Sans" w:hAnsi="Lucida Sans"/>
          <w:i w:val="1"/>
          <w:iCs w:val="1"/>
          <w:sz w:val="20"/>
          <w:szCs w:val="20"/>
          <w:rtl w:val="0"/>
        </w:rPr>
        <w:t xml:space="preserve">El Principio de Progresividad está previsto en el artículo 1o. constitucional y en diversos tratados internacionales ratificados por México. Dicho principio, en términos generales, ordena ampliar el alcance y la protección de los derechos humanos en la mayor medida posible hasta lograr su plena efectividad, de acuerdo con las circunstancias fácticas y jurídicas del caso concreto. Es posible diseccionar este principio en varias exigencias de carácter tanto positivo como negativo, dirigidas a los creadores de las normas jurídicas y a sus aplicadores, con independencia del carácter formal de las autoridades respectivas, ya sean legislativas, administrativas o judiciales. En sentido positivo, del Principio de Progresividad derivan para el legislador (sea formal o material) la obligación de ampliar el alcance y la tutela de los derechos humanos; y para el aplicador, el deber de interpretar las normas de manera que se amplíen, en lo posible jurídicamente, esos aspectos de los derechos. En sentido negativo, </w:t>
      </w:r>
      <w:r w:rsidDel="00000000" w:rsidR="00000000" w:rsidRPr="00000000">
        <w:rPr>
          <w:rFonts w:ascii="Lucida Sans" w:cs="Lucida Sans" w:eastAsia="Lucida Sans" w:hAnsi="Lucida Sans"/>
          <w:b w:val="1"/>
          <w:bCs w:val="1"/>
          <w:i w:val="1"/>
          <w:iCs w:val="1"/>
          <w:sz w:val="20"/>
          <w:szCs w:val="20"/>
          <w:rtl w:val="0"/>
        </w:rPr>
        <w:t xml:space="preserve">impone una prohibición de regresividad: el legislador tiene prohibido, en principio, emitir actos legislativos que limiten, restrinjan, eliminen o desconozcan el alcance y la tutela que en determinado momento ya se reconocía a los derechos humanos, y el aplicador tiene prohibido interpretar las normas sobre derechos humanos de manera regresiva, esto es, atribuyéndoles un sentido que implique desconocer la extensión de los derechos humanos y su nivel de tutela admitido previamente. </w:t>
      </w:r>
      <w:r w:rsidDel="00000000" w:rsidR="00000000" w:rsidRPr="00000000">
        <w:rPr>
          <w:rFonts w:ascii="Lucida Sans" w:cs="Lucida Sans" w:eastAsia="Lucida Sans" w:hAnsi="Lucida Sans"/>
          <w:i w:val="1"/>
          <w:iCs w:val="1"/>
          <w:sz w:val="20"/>
          <w:szCs w:val="20"/>
          <w:rtl w:val="0"/>
        </w:rPr>
        <w:t xml:space="preserve">En congruencia con este principio, el alcance y nivel de protección reconocidos a los derechos humanos tanto por la Constitución como por los tratados internacionales, deben ser concebidos como un mínimo que el Estado Mexicano tiene la obligación inmediata de respetar (no regresividad) y, a la vez, el punto de partida para su desarrollo gradual (deber positivo de progresar). </w:t>
      </w:r>
      <w:r w:rsidDel="00000000" w:rsidR="00000000" w:rsidRPr="00000000">
        <w:rPr>
          <w:rFonts w:ascii="Lucida Sans" w:cs="Lucida Sans" w:eastAsia="Lucida Sans" w:hAnsi="Lucida Sans"/>
          <w:sz w:val="20"/>
          <w:szCs w:val="20"/>
          <w:rtl w:val="0"/>
        </w:rPr>
        <w:t xml:space="preserve">[énfasis propio]</w:t>
      </w:r>
    </w:p>
    <w:p w:rsidR="00000000" w:rsidDel="00000000" w:rsidP="00000000" w:rsidRDefault="00000000" w:rsidRPr="00000000" w14:paraId="0000018B">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18C">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Esta interpretación va más allá de la simple aplicación del principio de progresividad, ya que identifica a los distintos actores que ejercen autoridad dentro del Estado mexicano y define sus roles específicos en la protección y ampliación de los Derechos Humanos.</w:t>
      </w:r>
    </w:p>
    <w:p w:rsidR="00000000" w:rsidDel="00000000" w:rsidP="00000000" w:rsidRDefault="00000000" w:rsidRPr="00000000" w14:paraId="0000018D">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18E">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Por un lado, el legislador tiene la obligación de fortalecer la protección de los derechos humanos mediante la creación, modificación o derogación de normas jurídicas. En este proceso, debe respetar el principio de progresividad, garantizando que la evolución normativa siempre conduzca a una mayor tutela de los derechos y evitando cualquier retroceso.</w:t>
      </w:r>
    </w:p>
    <w:p w:rsidR="00000000" w:rsidDel="00000000" w:rsidP="00000000" w:rsidRDefault="00000000" w:rsidRPr="00000000" w14:paraId="0000018F">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190">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Estos principios han sido formalmente reconocidos en diversos instrumentos jurídicos, destacando el artículo 1° de la Constitución Política de los Estados Unidos Mexicanos (CPEUM), el cual establece en su tercer párrafo que </w:t>
      </w:r>
      <w:r w:rsidDel="00000000" w:rsidR="00000000" w:rsidRPr="00000000">
        <w:rPr>
          <w:rFonts w:ascii="Lucida Sans" w:cs="Lucida Sans" w:eastAsia="Lucida Sans" w:hAnsi="Lucida Sans"/>
          <w:i w:val="1"/>
          <w:iCs w:val="1"/>
          <w:sz w:val="24"/>
          <w:szCs w:val="24"/>
          <w:rtl w:val="0"/>
        </w:rPr>
        <w:t xml:space="preserve">“todas las autoridades, en el ámbito de sus competencias, tienen la obligación de promover, respetar, proteger y garantizar los derechos humanos de conformidad con los principios de universalidad, interdependencia, indivisibilidad y progresividad”</w:t>
      </w:r>
      <w:r w:rsidDel="00000000" w:rsidR="00000000" w:rsidRPr="00000000">
        <w:rPr>
          <w:rFonts w:ascii="Lucida Sans" w:cs="Lucida Sans" w:eastAsia="Lucida Sans" w:hAnsi="Lucida Sans"/>
          <w:sz w:val="24"/>
          <w:szCs w:val="24"/>
          <w:rtl w:val="0"/>
        </w:rPr>
        <w:t xml:space="preserve">.</w:t>
      </w:r>
    </w:p>
    <w:p w:rsidR="00000000" w:rsidDel="00000000" w:rsidP="00000000" w:rsidRDefault="00000000" w:rsidRPr="00000000" w14:paraId="00000191">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 </w:t>
      </w:r>
    </w:p>
    <w:p w:rsidR="00000000" w:rsidDel="00000000" w:rsidP="00000000" w:rsidRDefault="00000000" w:rsidRPr="00000000" w14:paraId="00000192">
      <w:pPr>
        <w:tabs>
          <w:tab w:val="left" w:leader="none" w:pos="5529"/>
        </w:tabs>
        <w:spacing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Esta disposición constitucional demuestra que los principios de derechos humanos están interconectados y no pueden analizarse de manera aislada.</w:t>
      </w:r>
    </w:p>
    <w:p w:rsidR="00000000" w:rsidDel="00000000" w:rsidP="00000000" w:rsidRDefault="00000000" w:rsidRPr="00000000" w14:paraId="00000193">
      <w:pPr>
        <w:tabs>
          <w:tab w:val="left" w:leader="none" w:pos="5529"/>
        </w:tabs>
        <w:spacing w:after="240" w:before="240"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efecto, la ley que se cuestiona vulnera los derechos adquiridos previamente al establecer las contradicciones y restricciones respecto a la transmisión de concesiones de agua entre particulares. </w:t>
      </w:r>
    </w:p>
    <w:p w:rsidR="00000000" w:rsidDel="00000000" w:rsidP="00000000" w:rsidRDefault="00000000" w:rsidRPr="00000000" w14:paraId="00000194">
      <w:pPr>
        <w:tabs>
          <w:tab w:val="left" w:leader="none" w:pos="5529"/>
        </w:tabs>
        <w:spacing w:after="240" w:before="240" w:line="240" w:lineRule="auto"/>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Lo anterior, como se demuestra con la derogación los artículos 23, Bis, 30 fracción IV, 33, 34, 35, 36, 37 y 51 fracción VI de la Ley de Aguas Nacionales que permitían y regulaban la cesión o transferencia de títulos y añade disposiciones de prohibición expresa sobre la transmisión de derechos amparados en concesiones y asignaciones (artículo 22, segundo párrafo, 23 bis), lo que genera una afectación directa a los derechos previamente adquiridos, </w:t>
      </w:r>
      <w:r w:rsidDel="00000000" w:rsidR="00000000" w:rsidRPr="00000000">
        <w:rPr>
          <w:rFonts w:ascii="Lucida Sans" w:cs="Lucida Sans" w:eastAsia="Lucida Sans" w:hAnsi="Lucida Sans"/>
          <w:b w:val="1"/>
          <w:bCs w:val="1"/>
          <w:sz w:val="24"/>
          <w:szCs w:val="24"/>
          <w:rtl w:val="0"/>
        </w:rPr>
        <w:t xml:space="preserve">artículos que son contrarios a la constitución y que se solicita su inconstitucionalidad a esta jurisdicción federal</w:t>
      </w:r>
      <w:r w:rsidDel="00000000" w:rsidR="00000000" w:rsidRPr="00000000">
        <w:rPr>
          <w:rFonts w:ascii="Lucida Sans" w:cs="Lucida Sans" w:eastAsia="Lucida Sans" w:hAnsi="Lucida Sans"/>
          <w:sz w:val="24"/>
          <w:szCs w:val="24"/>
          <w:rtl w:val="0"/>
        </w:rPr>
        <w:t xml:space="preserve">.</w:t>
      </w:r>
    </w:p>
    <w:p w:rsidR="00000000" w:rsidDel="00000000" w:rsidP="00000000" w:rsidRDefault="00000000" w:rsidRPr="00000000" w14:paraId="00000195">
      <w:pPr>
        <w:spacing w:line="240" w:lineRule="auto"/>
        <w:ind w:right="257"/>
        <w:jc w:val="both"/>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rtl w:val="0"/>
        </w:rPr>
        <w:t xml:space="preserve">En ese sentido se genera una situación falta de seguridad jurídica al aplicar en forma retroactiva en perjuicio del derecho al Título de Concesión, Asignación o Permiso. Es decir, en la nueva norma se introdujo la coexistencia, por un lado, del artículo 22 que se establece que los derechos amparados en las concesiones y asignaciones no serán objeto de transmisión y que la reasignación solo podrá realizarse previo análisis y autorización de la Autoridad del Agua mediante un nuevo título de concesión o asignación. Y por el otro, los artículos 37 Bis y 37 Bis 2, así como el artículo 49 en los que se busca volver a unir la posesión de la tierra a la concesión de aguas. Se contempla ahora que, en los casos de transmisión de dominio de tierras vinculadas con un título de concesión, la nueva persona propietaria conservará los derechos de explotación, uso o aprovechamiento en un nuevo título de concesión que la Autoridad del Agua amita para el mismo uso (tomando en cuenta que las actividades de uso agrícola y pecuario serán consideradas como un mismo uso). Generando un nuevo régimen que afecta en perjuicio de manera retroactiva a los derechos que previamente se había adquirido, lo que genera una afectación a la seguridad jurídica sobre el uso y transmisión. </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5529"/>
        </w:tabs>
        <w:spacing w:line="240" w:lineRule="auto"/>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197">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XI. PRUEBAS:</w:t>
      </w:r>
      <w:r w:rsidDel="00000000" w:rsidR="00000000" w:rsidRPr="00000000">
        <w:rPr>
          <w:rtl w:val="0"/>
        </w:rPr>
      </w:r>
    </w:p>
    <w:p w:rsidR="00000000" w:rsidDel="00000000" w:rsidP="00000000" w:rsidRDefault="00000000" w:rsidRPr="00000000" w14:paraId="00000198">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199">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Expuestas las consideraciones de hecho y de derecho antes referidas, a efecto de acreditar los extremos de lo manifestado por la parte quejosa, en términos de lo establecido por los artículos 119, 123 y 124 de la Ley de Amparo, se exhiben y ofrecen las siguientes pruebas:</w:t>
      </w:r>
    </w:p>
    <w:p w:rsidR="00000000" w:rsidDel="00000000" w:rsidP="00000000" w:rsidRDefault="00000000" w:rsidRPr="00000000" w14:paraId="0000019A">
      <w:pPr>
        <w:tabs>
          <w:tab w:val="left" w:leader="none" w:pos="5529"/>
        </w:tabs>
        <w:spacing w:line="240" w:lineRule="auto"/>
        <w:ind w:right="49"/>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ucida Sans" w:cs="Lucida Sans" w:eastAsia="Lucida Sans" w:hAnsi="Lucida Sans"/>
          <w:b w:val="0"/>
          <w:bCs w:val="0"/>
          <w:i w:val="0"/>
          <w:iCs w:val="0"/>
          <w:smallCaps w:val="0"/>
          <w:strike w:val="0"/>
          <w:color w:val="000000"/>
          <w:sz w:val="24"/>
          <w:szCs w:val="24"/>
          <w:highlight w:val="yellow"/>
          <w:u w:val="none"/>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highlight w:val="yellow"/>
          <w:u w:val="none"/>
          <w:vertAlign w:val="baseline"/>
          <w:rtl w:val="0"/>
        </w:rPr>
        <w:t xml:space="preserve">LA DOCUMENTAL PRIVADA</w:t>
      </w:r>
      <w:r w:rsidDel="00000000" w:rsidR="00000000" w:rsidRPr="00000000">
        <w:rPr>
          <w:rFonts w:ascii="Lucida Sans" w:cs="Lucida Sans" w:eastAsia="Lucida Sans" w:hAnsi="Lucida Sans"/>
          <w:b w:val="0"/>
          <w:bCs w:val="0"/>
          <w:i w:val="0"/>
          <w:iCs w:val="0"/>
          <w:smallCaps w:val="0"/>
          <w:strike w:val="0"/>
          <w:color w:val="000000"/>
          <w:sz w:val="24"/>
          <w:szCs w:val="24"/>
          <w:highlight w:val="yellow"/>
          <w:u w:val="none"/>
          <w:vertAlign w:val="baseline"/>
          <w:rtl w:val="0"/>
        </w:rPr>
        <w:t xml:space="preserve">. Consistente en la copia de la credencial de elector.</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Lucida Sans" w:cs="Lucida Sans" w:eastAsia="Lucida Sans" w:hAnsi="Lucida San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ucida Sans" w:cs="Lucida Sans" w:eastAsia="Lucida Sans" w:hAnsi="Lucida Sans"/>
          <w:b w:val="0"/>
          <w:bCs w:val="0"/>
          <w:i w:val="0"/>
          <w:iCs w:val="0"/>
          <w:smallCaps w:val="0"/>
          <w:strike w:val="0"/>
          <w:color w:val="000000"/>
          <w:sz w:val="24"/>
          <w:szCs w:val="24"/>
          <w:highlight w:val="yellow"/>
          <w:u w:val="none"/>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highlight w:val="yellow"/>
          <w:u w:val="none"/>
          <w:vertAlign w:val="baseline"/>
          <w:rtl w:val="0"/>
        </w:rPr>
        <w:t xml:space="preserve">LA DOCUMENTAL PRIVADA</w:t>
      </w:r>
      <w:r w:rsidDel="00000000" w:rsidR="00000000" w:rsidRPr="00000000">
        <w:rPr>
          <w:rFonts w:ascii="Lucida Sans" w:cs="Lucida Sans" w:eastAsia="Lucida Sans" w:hAnsi="Lucida Sans"/>
          <w:b w:val="0"/>
          <w:bCs w:val="0"/>
          <w:i w:val="0"/>
          <w:iCs w:val="0"/>
          <w:smallCaps w:val="0"/>
          <w:strike w:val="0"/>
          <w:color w:val="000000"/>
          <w:sz w:val="24"/>
          <w:szCs w:val="24"/>
          <w:highlight w:val="yellow"/>
          <w:u w:val="none"/>
          <w:vertAlign w:val="baseline"/>
          <w:rtl w:val="0"/>
        </w:rPr>
        <w:t xml:space="preserve">. Consistente en la copia del documento que el Título de Propiedad o Certificado de Propiedad (describir su nombre, número o clave).</w:t>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Lucida Sans" w:cs="Lucida Sans" w:eastAsia="Lucida Sans" w:hAnsi="Lucida Sans"/>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Lucida Sans" w:cs="Lucida Sans" w:eastAsia="Lucida Sans" w:hAnsi="Lucida Sans"/>
          <w:b w:val="0"/>
          <w:bCs w:val="0"/>
          <w:i w:val="0"/>
          <w:iCs w:val="0"/>
          <w:smallCaps w:val="0"/>
          <w:strike w:val="0"/>
          <w:color w:val="000000"/>
          <w:sz w:val="24"/>
          <w:szCs w:val="24"/>
          <w:highlight w:val="yellow"/>
          <w:u w:val="none"/>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highlight w:val="yellow"/>
          <w:u w:val="none"/>
          <w:vertAlign w:val="baseline"/>
          <w:rtl w:val="0"/>
        </w:rPr>
        <w:t xml:space="preserve">LA DOCUMENTAL PRIVADA</w:t>
      </w:r>
      <w:r w:rsidDel="00000000" w:rsidR="00000000" w:rsidRPr="00000000">
        <w:rPr>
          <w:rFonts w:ascii="Lucida Sans" w:cs="Lucida Sans" w:eastAsia="Lucida Sans" w:hAnsi="Lucida Sans"/>
          <w:b w:val="0"/>
          <w:bCs w:val="0"/>
          <w:i w:val="0"/>
          <w:iCs w:val="0"/>
          <w:smallCaps w:val="0"/>
          <w:strike w:val="0"/>
          <w:color w:val="000000"/>
          <w:sz w:val="24"/>
          <w:szCs w:val="24"/>
          <w:highlight w:val="yellow"/>
          <w:u w:val="none"/>
          <w:vertAlign w:val="baseline"/>
          <w:rtl w:val="0"/>
        </w:rPr>
        <w:t xml:space="preserve">. Consistente en la copia del documento que el Título de Concesión o Permiso (describir su nombre, número o clave)</w:t>
      </w:r>
    </w:p>
    <w:p w:rsidR="00000000" w:rsidDel="00000000" w:rsidP="00000000" w:rsidRDefault="00000000" w:rsidRPr="00000000" w14:paraId="000001A0">
      <w:pPr>
        <w:spacing w:line="240" w:lineRule="auto"/>
        <w:ind w:right="49"/>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spacing w:after="0" w:before="0" w:line="240" w:lineRule="auto"/>
        <w:ind w:left="360" w:right="49" w:hanging="36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TODAS LAS DOCUMENTALES PÚBLICAS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 HECHOS NOTORIOS, </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se pide tener en cuenta los hechos notorios que corresponden a la publicación del decreto reclamado, lo mismo que las fuentes de todos los datos asentados en los antecedentes y en lo largo de la demanda de amparo, correspondientes a las publicaciones en medios oficiales y no oficiales en sitios de internet.</w:t>
      </w: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40" w:lineRule="auto"/>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1A3">
      <w:pPr>
        <w:spacing w:line="240" w:lineRule="auto"/>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Lo anterior es posible, de conformidad con el criterio emitido por Tribunales Colegiados del Primer Circuito, en el cual señalan que el contenido de las páginas web son hechos notorios, por lo que podrán ser valorados en la decisión judicial del órgano jurisdiccional, ello o atendiendo a la tesis </w:t>
      </w:r>
      <w:r w:rsidDel="00000000" w:rsidR="00000000" w:rsidRPr="00000000">
        <w:rPr>
          <w:rFonts w:ascii="Lucida Sans" w:cs="Lucida Sans" w:eastAsia="Lucida Sans" w:hAnsi="Lucida Sans"/>
          <w:b w:val="1"/>
          <w:bCs w:val="1"/>
          <w:i w:val="1"/>
          <w:iCs w:val="1"/>
          <w:color w:val="000000"/>
          <w:sz w:val="24"/>
          <w:szCs w:val="24"/>
          <w:rtl w:val="0"/>
        </w:rPr>
        <w:t xml:space="preserve">“PÁGINAS WEB O ELECTRÓNICAS. SU CONTENIDO ES UN HECHO NOTORIO Y SUSCEPTIBLE DE SER VALORADO EN UNA DECISIÓN JUDICIAL.</w:t>
      </w:r>
      <w:r w:rsidDel="00000000" w:rsidR="00000000" w:rsidRPr="00000000">
        <w:rPr>
          <w:rFonts w:ascii="Lucida Sans" w:cs="Lucida Sans" w:eastAsia="Lucida Sans" w:hAnsi="Lucida Sans"/>
          <w:b w:val="1"/>
          <w:bCs w:val="1"/>
          <w:i w:val="1"/>
          <w:iCs w:val="1"/>
          <w:color w:val="000000"/>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40" w:lineRule="auto"/>
        <w:ind w:left="851" w:firstLine="0"/>
        <w:jc w:val="both"/>
        <w:rPr>
          <w:rFonts w:ascii="Lucida Sans" w:cs="Lucida Sans" w:eastAsia="Lucida Sans" w:hAnsi="Lucida Sans"/>
          <w:i w:val="1"/>
          <w:iCs w:val="1"/>
          <w:color w:val="000000"/>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tabs>
          <w:tab w:val="left" w:leader="none" w:pos="5529"/>
        </w:tabs>
        <w:spacing w:after="0" w:before="0" w:line="240" w:lineRule="auto"/>
        <w:ind w:left="360" w:right="49" w:hanging="36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LA PRESUNCIONAL</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en su doble aspecto legal y humana en lo que beneficie al suscrito.</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29"/>
        </w:tabs>
        <w:spacing w:after="0" w:before="0" w:line="240" w:lineRule="auto"/>
        <w:ind w:left="360" w:right="49" w:firstLine="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6"/>
          <w:numId w:val="10"/>
        </w:numPr>
        <w:pBdr>
          <w:top w:space="0" w:sz="0" w:val="nil"/>
          <w:left w:space="0" w:sz="0" w:val="nil"/>
          <w:bottom w:space="0" w:sz="0" w:val="nil"/>
          <w:right w:space="0" w:sz="0" w:val="nil"/>
          <w:between w:space="0" w:sz="0" w:val="nil"/>
        </w:pBdr>
        <w:shd w:fill="auto" w:val="clear"/>
        <w:tabs>
          <w:tab w:val="left" w:leader="none" w:pos="5529"/>
        </w:tabs>
        <w:spacing w:after="0" w:before="0" w:line="240" w:lineRule="auto"/>
        <w:ind w:left="360" w:right="49" w:hanging="360"/>
        <w:jc w:val="both"/>
        <w:rPr>
          <w:rFonts w:ascii="Lucida Sans" w:cs="Lucida Sans" w:eastAsia="Lucida Sans" w:hAnsi="Lucida Sans"/>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000000"/>
          <w:sz w:val="24"/>
          <w:szCs w:val="24"/>
          <w:u w:val="none"/>
          <w:shd w:fill="auto" w:val="clear"/>
          <w:vertAlign w:val="baseline"/>
          <w:rtl w:val="0"/>
        </w:rPr>
        <w:t xml:space="preserve">LA INSTRUMENTAL DE ACTUACIONES</w:t>
      </w:r>
      <w:r w:rsidDel="00000000" w:rsidR="00000000" w:rsidRPr="00000000">
        <w:rPr>
          <w:rFonts w:ascii="Lucida Sans" w:cs="Lucida Sans" w:eastAsia="Lucida Sans" w:hAnsi="Lucida Sans"/>
          <w:b w:val="0"/>
          <w:bCs w:val="0"/>
          <w:i w:val="0"/>
          <w:iCs w:val="0"/>
          <w:smallCaps w:val="0"/>
          <w:strike w:val="0"/>
          <w:color w:val="000000"/>
          <w:sz w:val="24"/>
          <w:szCs w:val="24"/>
          <w:u w:val="none"/>
          <w:shd w:fill="auto" w:val="clear"/>
          <w:vertAlign w:val="baseline"/>
          <w:rtl w:val="0"/>
        </w:rPr>
        <w:t xml:space="preserve">, en todo lo que beneficie al suscrito.</w:t>
      </w:r>
    </w:p>
    <w:p w:rsidR="00000000" w:rsidDel="00000000" w:rsidP="00000000" w:rsidRDefault="00000000" w:rsidRPr="00000000" w14:paraId="000001A8">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1A9">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La quejosa se reserva el derecho en términos del artículo 119 de la Ley de Amparo a ofrecer más pruebas a efecto de que sean consideradas y relacionadas en la audiencia constitucional correspondiente.</w:t>
      </w:r>
    </w:p>
    <w:p w:rsidR="00000000" w:rsidDel="00000000" w:rsidP="00000000" w:rsidRDefault="00000000" w:rsidRPr="00000000" w14:paraId="000001AA">
      <w:pPr>
        <w:tabs>
          <w:tab w:val="left" w:leader="none" w:pos="5529"/>
        </w:tabs>
        <w:spacing w:line="240" w:lineRule="auto"/>
        <w:jc w:val="both"/>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 </w:t>
      </w:r>
    </w:p>
    <w:p w:rsidR="00000000" w:rsidDel="00000000" w:rsidP="00000000" w:rsidRDefault="00000000" w:rsidRPr="00000000" w14:paraId="000001AB">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color w:val="000000"/>
          <w:sz w:val="24"/>
          <w:szCs w:val="24"/>
          <w:rtl w:val="0"/>
        </w:rPr>
        <w:t xml:space="preserve">Por lo anteriormente expuesto y fundado, a ese </w:t>
      </w:r>
      <w:r w:rsidDel="00000000" w:rsidR="00000000" w:rsidRPr="00000000">
        <w:rPr>
          <w:rFonts w:ascii="Lucida Sans" w:cs="Lucida Sans" w:eastAsia="Lucida Sans" w:hAnsi="Lucida Sans"/>
          <w:b w:val="1"/>
          <w:bCs w:val="1"/>
          <w:color w:val="000000"/>
          <w:sz w:val="24"/>
          <w:szCs w:val="24"/>
          <w:rtl w:val="0"/>
        </w:rPr>
        <w:t xml:space="preserve">JUZGADO DE DISTRITO EN MATERIA ADMINISTRATIVA</w:t>
      </w:r>
      <w:r w:rsidDel="00000000" w:rsidR="00000000" w:rsidRPr="00000000">
        <w:rPr>
          <w:rFonts w:ascii="Lucida Sans" w:cs="Lucida Sans" w:eastAsia="Lucida Sans" w:hAnsi="Lucida Sans"/>
          <w:color w:val="000000"/>
          <w:sz w:val="24"/>
          <w:szCs w:val="24"/>
          <w:rtl w:val="0"/>
        </w:rPr>
        <w:t xml:space="preserve">, atentamente solicito se sirva:</w:t>
      </w:r>
    </w:p>
    <w:p w:rsidR="00000000" w:rsidDel="00000000" w:rsidP="00000000" w:rsidRDefault="00000000" w:rsidRPr="00000000" w14:paraId="000001AC">
      <w:pPr>
        <w:tabs>
          <w:tab w:val="left" w:leader="none" w:pos="5529"/>
        </w:tabs>
        <w:spacing w:line="240" w:lineRule="auto"/>
        <w:ind w:right="49"/>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1AD">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PRIMERO.</w:t>
      </w:r>
      <w:r w:rsidDel="00000000" w:rsidR="00000000" w:rsidRPr="00000000">
        <w:rPr>
          <w:rFonts w:ascii="Lucida Sans" w:cs="Lucida Sans" w:eastAsia="Lucida Sans" w:hAnsi="Lucida Sans"/>
          <w:color w:val="000000"/>
          <w:sz w:val="24"/>
          <w:szCs w:val="24"/>
          <w:rtl w:val="0"/>
        </w:rPr>
        <w:t xml:space="preserve"> Tenerme por presentada en tiempo y forma el presente escrito en el cual se solicita el amparo y protección de la Justicia de la Unión en contra de los actos reclamados, admitir la demanda de amparo que nos ocupa y correr traslado de esta a las partes para todos los efectos legales a que haya lugar.</w:t>
      </w:r>
    </w:p>
    <w:p w:rsidR="00000000" w:rsidDel="00000000" w:rsidP="00000000" w:rsidRDefault="00000000" w:rsidRPr="00000000" w14:paraId="000001AE">
      <w:pPr>
        <w:tabs>
          <w:tab w:val="left" w:leader="none" w:pos="5529"/>
        </w:tabs>
        <w:spacing w:line="240" w:lineRule="auto"/>
        <w:ind w:right="49"/>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1AF">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SEGUNDO.</w:t>
      </w:r>
      <w:r w:rsidDel="00000000" w:rsidR="00000000" w:rsidRPr="00000000">
        <w:rPr>
          <w:rFonts w:ascii="Lucida Sans" w:cs="Lucida Sans" w:eastAsia="Lucida Sans" w:hAnsi="Lucida Sans"/>
          <w:color w:val="000000"/>
          <w:sz w:val="24"/>
          <w:szCs w:val="24"/>
          <w:rtl w:val="0"/>
        </w:rPr>
        <w:t xml:space="preserve"> Autorizar a las personas indicadas, a efecto de que se puedan realizar todas las notificaciones.</w:t>
      </w:r>
    </w:p>
    <w:p w:rsidR="00000000" w:rsidDel="00000000" w:rsidP="00000000" w:rsidRDefault="00000000" w:rsidRPr="00000000" w14:paraId="000001B0">
      <w:pPr>
        <w:tabs>
          <w:tab w:val="left" w:leader="none" w:pos="5529"/>
        </w:tabs>
        <w:spacing w:line="240" w:lineRule="auto"/>
        <w:ind w:right="49"/>
        <w:jc w:val="both"/>
        <w:rPr>
          <w:rFonts w:ascii="Lucida Sans" w:cs="Lucida Sans" w:eastAsia="Lucida Sans" w:hAnsi="Lucida Sans"/>
          <w:b w:val="1"/>
          <w:bCs w:val="1"/>
          <w:color w:val="000000"/>
          <w:sz w:val="24"/>
          <w:szCs w:val="24"/>
        </w:rPr>
      </w:pPr>
      <w:r w:rsidDel="00000000" w:rsidR="00000000" w:rsidRPr="00000000">
        <w:rPr>
          <w:rtl w:val="0"/>
        </w:rPr>
      </w:r>
    </w:p>
    <w:p w:rsidR="00000000" w:rsidDel="00000000" w:rsidP="00000000" w:rsidRDefault="00000000" w:rsidRPr="00000000" w14:paraId="000001B1">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TERCERO.</w:t>
      </w:r>
      <w:r w:rsidDel="00000000" w:rsidR="00000000" w:rsidRPr="00000000">
        <w:rPr>
          <w:rFonts w:ascii="Lucida Sans" w:cs="Lucida Sans" w:eastAsia="Lucida Sans" w:hAnsi="Lucida Sans"/>
          <w:color w:val="000000"/>
          <w:sz w:val="24"/>
          <w:szCs w:val="24"/>
          <w:rtl w:val="0"/>
        </w:rPr>
        <w:t xml:space="preserve"> En términos del artículo 119 de la Ley de Amparo, tener por exhibidas, ofrecidas y relacionadas las pruebas. Ello, sin perjuicio de ofrecer diversas probanzas en términos de lo establecido en el artículo 119 de la Ley de Amparo.</w:t>
      </w:r>
    </w:p>
    <w:p w:rsidR="00000000" w:rsidDel="00000000" w:rsidP="00000000" w:rsidRDefault="00000000" w:rsidRPr="00000000" w14:paraId="000001B2">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1B3">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Fonts w:ascii="Lucida Sans" w:cs="Lucida Sans" w:eastAsia="Lucida Sans" w:hAnsi="Lucida Sans"/>
          <w:b w:val="1"/>
          <w:bCs w:val="1"/>
          <w:color w:val="000000"/>
          <w:sz w:val="24"/>
          <w:szCs w:val="24"/>
          <w:rtl w:val="0"/>
        </w:rPr>
        <w:t xml:space="preserve">CUARTO. </w:t>
      </w:r>
      <w:r w:rsidDel="00000000" w:rsidR="00000000" w:rsidRPr="00000000">
        <w:rPr>
          <w:rFonts w:ascii="Lucida Sans" w:cs="Lucida Sans" w:eastAsia="Lucida Sans" w:hAnsi="Lucida Sans"/>
          <w:color w:val="000000"/>
          <w:sz w:val="24"/>
          <w:szCs w:val="24"/>
          <w:rtl w:val="0"/>
        </w:rPr>
        <w:t xml:space="preserve">Previos los trámites de rigor, conceder el amparo y la protección de la Justicia de la Unión en contra de los actos reclamados en el presente juicio constitucional.</w:t>
      </w:r>
    </w:p>
    <w:p w:rsidR="00000000" w:rsidDel="00000000" w:rsidP="00000000" w:rsidRDefault="00000000" w:rsidRPr="00000000" w14:paraId="000001B4">
      <w:pPr>
        <w:tabs>
          <w:tab w:val="left" w:leader="none" w:pos="5529"/>
        </w:tabs>
        <w:spacing w:line="240" w:lineRule="auto"/>
        <w:ind w:right="49"/>
        <w:jc w:val="both"/>
        <w:rPr>
          <w:rFonts w:ascii="Lucida Sans" w:cs="Lucida Sans" w:eastAsia="Lucida Sans" w:hAnsi="Lucida Sans"/>
          <w:color w:val="000000"/>
          <w:sz w:val="24"/>
          <w:szCs w:val="24"/>
        </w:rPr>
      </w:pPr>
      <w:r w:rsidDel="00000000" w:rsidR="00000000" w:rsidRPr="00000000">
        <w:rPr>
          <w:rtl w:val="0"/>
        </w:rPr>
      </w:r>
    </w:p>
    <w:p w:rsidR="00000000" w:rsidDel="00000000" w:rsidP="00000000" w:rsidRDefault="00000000" w:rsidRPr="00000000" w14:paraId="000001B5">
      <w:pPr>
        <w:spacing w:line="240" w:lineRule="auto"/>
        <w:ind w:right="40"/>
        <w:jc w:val="center"/>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rtl w:val="0"/>
        </w:rPr>
        <w:t xml:space="preserve">PROTESTO LO NECESARIO,</w:t>
      </w:r>
    </w:p>
    <w:p w:rsidR="00000000" w:rsidDel="00000000" w:rsidP="00000000" w:rsidRDefault="00000000" w:rsidRPr="00000000" w14:paraId="000001B6">
      <w:pPr>
        <w:spacing w:line="240" w:lineRule="auto"/>
        <w:ind w:right="40"/>
        <w:jc w:val="center"/>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B7">
      <w:pPr>
        <w:spacing w:line="240" w:lineRule="auto"/>
        <w:ind w:right="40"/>
        <w:jc w:val="center"/>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B8">
      <w:pPr>
        <w:spacing w:line="240" w:lineRule="auto"/>
        <w:ind w:right="40"/>
        <w:jc w:val="center"/>
        <w:rPr>
          <w:rFonts w:ascii="Lucida Sans" w:cs="Lucida Sans" w:eastAsia="Lucida Sans" w:hAnsi="Lucida Sans"/>
          <w:b w:val="1"/>
          <w:bCs w:val="1"/>
          <w:sz w:val="24"/>
          <w:szCs w:val="24"/>
        </w:rPr>
      </w:pPr>
      <w:r w:rsidDel="00000000" w:rsidR="00000000" w:rsidRPr="00000000">
        <w:rPr>
          <w:rFonts w:ascii="Lucida Sans" w:cs="Lucida Sans" w:eastAsia="Lucida Sans" w:hAnsi="Lucida Sans"/>
          <w:b w:val="1"/>
          <w:bCs w:val="1"/>
          <w:sz w:val="24"/>
          <w:szCs w:val="24"/>
          <w:highlight w:val="yellow"/>
          <w:rtl w:val="0"/>
        </w:rPr>
        <w:t xml:space="preserve">XXXXXXXXX</w:t>
      </w:r>
      <w:r w:rsidDel="00000000" w:rsidR="00000000" w:rsidRPr="00000000">
        <w:rPr>
          <w:rtl w:val="0"/>
        </w:rPr>
      </w:r>
    </w:p>
    <w:p w:rsidR="00000000" w:rsidDel="00000000" w:rsidP="00000000" w:rsidRDefault="00000000" w:rsidRPr="00000000" w14:paraId="000001B9">
      <w:pPr>
        <w:spacing w:line="240" w:lineRule="auto"/>
        <w:ind w:right="40"/>
        <w:jc w:val="center"/>
        <w:rPr>
          <w:rFonts w:ascii="Lucida Sans" w:cs="Lucida Sans" w:eastAsia="Lucida Sans" w:hAnsi="Lucida Sans"/>
          <w:b w:val="1"/>
          <w:bCs w:val="1"/>
          <w:sz w:val="24"/>
          <w:szCs w:val="24"/>
        </w:rPr>
      </w:pPr>
      <w:r w:rsidDel="00000000" w:rsidR="00000000" w:rsidRPr="00000000">
        <w:rPr>
          <w:rtl w:val="0"/>
        </w:rPr>
      </w:r>
    </w:p>
    <w:p w:rsidR="00000000" w:rsidDel="00000000" w:rsidP="00000000" w:rsidRDefault="00000000" w:rsidRPr="00000000" w14:paraId="000001BA">
      <w:pPr>
        <w:spacing w:line="240" w:lineRule="auto"/>
        <w:ind w:right="40"/>
        <w:jc w:val="center"/>
        <w:rPr>
          <w:rFonts w:ascii="Lucida Sans" w:cs="Lucida Sans" w:eastAsia="Lucida Sans" w:hAnsi="Lucida Sans"/>
          <w:sz w:val="24"/>
          <w:szCs w:val="24"/>
        </w:rPr>
      </w:pPr>
      <w:r w:rsidDel="00000000" w:rsidR="00000000" w:rsidRPr="00000000">
        <w:rPr>
          <w:rFonts w:ascii="Lucida Sans" w:cs="Lucida Sans" w:eastAsia="Lucida Sans" w:hAnsi="Lucida Sans"/>
          <w:sz w:val="24"/>
          <w:szCs w:val="24"/>
          <w:highlight w:val="yellow"/>
          <w:rtl w:val="0"/>
        </w:rPr>
        <w:t xml:space="preserve">PON AQUÍ LA ENTIDAD FEDERATIVA DONDE INGRESARA EL AMPARO</w:t>
      </w:r>
      <w:r w:rsidDel="00000000" w:rsidR="00000000" w:rsidRPr="00000000">
        <w:rPr>
          <w:rFonts w:ascii="Lucida Sans" w:cs="Lucida Sans" w:eastAsia="Lucida Sans" w:hAnsi="Lucida Sans"/>
          <w:sz w:val="24"/>
          <w:szCs w:val="24"/>
          <w:rtl w:val="0"/>
        </w:rPr>
        <w:t xml:space="preserve">, a la fecha de su presentación</w:t>
      </w:r>
    </w:p>
    <w:p w:rsidR="00000000" w:rsidDel="00000000" w:rsidP="00000000" w:rsidRDefault="00000000" w:rsidRPr="00000000" w14:paraId="000001BB">
      <w:pPr>
        <w:spacing w:line="240" w:lineRule="auto"/>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C">
      <w:pPr>
        <w:tabs>
          <w:tab w:val="left" w:leader="none" w:pos="5529"/>
        </w:tabs>
        <w:spacing w:line="240" w:lineRule="auto"/>
        <w:ind w:right="-1137"/>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D">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E">
      <w:pPr>
        <w:tabs>
          <w:tab w:val="left" w:leader="none" w:pos="5529"/>
        </w:tabs>
        <w:spacing w:line="240" w:lineRule="auto"/>
        <w:ind w:right="1"/>
        <w:jc w:val="both"/>
        <w:rPr>
          <w:rFonts w:ascii="Lucida Sans" w:cs="Lucida Sans" w:eastAsia="Lucida Sans" w:hAnsi="Lucida Sans"/>
          <w:sz w:val="24"/>
          <w:szCs w:val="24"/>
        </w:rPr>
      </w:pPr>
      <w:r w:rsidDel="00000000" w:rsidR="00000000" w:rsidRPr="00000000">
        <w:rPr>
          <w:rtl w:val="0"/>
        </w:rPr>
      </w:r>
    </w:p>
    <w:p w:rsidR="00000000" w:rsidDel="00000000" w:rsidP="00000000" w:rsidRDefault="00000000" w:rsidRPr="00000000" w14:paraId="000001BF">
      <w:pPr>
        <w:tabs>
          <w:tab w:val="left" w:leader="none" w:pos="5529"/>
        </w:tabs>
        <w:spacing w:line="240" w:lineRule="auto"/>
        <w:ind w:right="1"/>
        <w:jc w:val="both"/>
        <w:rPr>
          <w:rFonts w:ascii="Lucida Sans" w:cs="Lucida Sans" w:eastAsia="Lucida Sans" w:hAnsi="Lucida Sans"/>
          <w:sz w:val="24"/>
          <w:szCs w:val="24"/>
          <w:highlight w:val="yellow"/>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sectPr>
      <w:headerReference r:id="rId15" w:type="default"/>
      <w:footerReference r:id="rId16" w:type="even"/>
      <w:type w:val="nextPage"/>
      <w:pgSz w:h="15840" w:w="12240" w:orient="portrait"/>
      <w:pgMar w:bottom="1440" w:top="1440" w:left="1700" w:right="113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mbria"/>
  <w:font w:name="Times New Roman"/>
  <w:font w:name="Courier New"/>
  <w:font w:name="Lucida Sans"/>
  <w:font w:name="Aptos"/>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pág.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pág.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0563c1"/>
            <w:u w:val="single"/>
            <w:rtl w:val="0"/>
          </w:rPr>
          <w:t xml:space="preserve">https://www.dof.gob.mx/nota_detalle.php?codigo=5775799&amp;fecha=11/12/2025#gsc.tab=0</w:t>
        </w:r>
      </w:hyperlink>
      <w:r w:rsidDel="00000000" w:rsidR="00000000" w:rsidRPr="00000000">
        <w:rPr>
          <w:rtl w:val="0"/>
        </w:rPr>
        <w:t xml:space="preserve"> </w:t>
      </w:r>
      <w:r w:rsidDel="00000000" w:rsidR="00000000" w:rsidRPr="00000000">
        <w:rPr>
          <w:rtl w:val="0"/>
        </w:rPr>
      </w:r>
    </w:p>
  </w:footnote>
  <w:footnote w:id="1">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https://gaceta.diputados.gob.mx/PDF/66/2025/dic/20251203-VI.pdf#page=2</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hyperlink r:id="rId3">
        <w:r w:rsidDel="00000000" w:rsidR="00000000" w:rsidRPr="00000000">
          <w:rPr>
            <w:rFonts w:ascii="Calibri" w:cs="Calibri" w:eastAsia="Calibri" w:hAnsi="Calibri"/>
            <w:b w:val="0"/>
            <w:bCs w:val="0"/>
            <w:i w:val="0"/>
            <w:iCs w:val="0"/>
            <w:smallCaps w:val="0"/>
            <w:strike w:val="0"/>
            <w:color w:val="0563c1"/>
            <w:sz w:val="20"/>
            <w:szCs w:val="20"/>
            <w:u w:val="single"/>
            <w:shd w:fill="auto" w:val="clear"/>
            <w:vertAlign w:val="baseline"/>
            <w:rtl w:val="0"/>
          </w:rPr>
          <w:t xml:space="preserve">https://www.senado.gob.mx/66/votacion/5007</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footnote>
  <w:footnote w:id="3">
    <w:p w:rsidR="00000000" w:rsidDel="00000000" w:rsidP="00000000" w:rsidRDefault="00000000" w:rsidRPr="00000000" w14:paraId="000001C4">
      <w:pPr>
        <w:shd w:fill="ffffff" w:val="clear"/>
        <w:jc w:val="both"/>
        <w:rPr>
          <w:color w:val="212529"/>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SCJN. </w:t>
      </w:r>
      <w:r w:rsidDel="00000000" w:rsidR="00000000" w:rsidRPr="00000000">
        <w:rPr>
          <w:b w:val="1"/>
          <w:bCs w:val="1"/>
          <w:color w:val="212529"/>
          <w:sz w:val="18"/>
          <w:szCs w:val="18"/>
          <w:rtl w:val="0"/>
        </w:rPr>
        <w:t xml:space="preserve">Registro digital: </w:t>
      </w:r>
      <w:r w:rsidDel="00000000" w:rsidR="00000000" w:rsidRPr="00000000">
        <w:rPr>
          <w:color w:val="212529"/>
          <w:sz w:val="18"/>
          <w:szCs w:val="18"/>
          <w:rtl w:val="0"/>
        </w:rPr>
        <w:t xml:space="preserve">198200. </w:t>
      </w:r>
      <w:r w:rsidDel="00000000" w:rsidR="00000000" w:rsidRPr="00000000">
        <w:rPr>
          <w:b w:val="1"/>
          <w:bCs w:val="1"/>
          <w:color w:val="212529"/>
          <w:sz w:val="18"/>
          <w:szCs w:val="18"/>
          <w:rtl w:val="0"/>
        </w:rPr>
        <w:t xml:space="preserve">Instancia: </w:t>
      </w:r>
      <w:r w:rsidDel="00000000" w:rsidR="00000000" w:rsidRPr="00000000">
        <w:rPr>
          <w:color w:val="212529"/>
          <w:sz w:val="18"/>
          <w:szCs w:val="18"/>
          <w:rtl w:val="0"/>
        </w:rPr>
        <w:t xml:space="preserve">Pleno. </w:t>
      </w:r>
      <w:r w:rsidDel="00000000" w:rsidR="00000000" w:rsidRPr="00000000">
        <w:rPr>
          <w:b w:val="1"/>
          <w:bCs w:val="1"/>
          <w:color w:val="212529"/>
          <w:sz w:val="18"/>
          <w:szCs w:val="18"/>
          <w:rtl w:val="0"/>
        </w:rPr>
        <w:t xml:space="preserve">Novena Época</w:t>
      </w:r>
      <w:r w:rsidDel="00000000" w:rsidR="00000000" w:rsidRPr="00000000">
        <w:rPr>
          <w:color w:val="212529"/>
          <w:sz w:val="18"/>
          <w:szCs w:val="18"/>
          <w:rtl w:val="0"/>
        </w:rPr>
        <w:t xml:space="preserve">. </w:t>
      </w:r>
      <w:r w:rsidDel="00000000" w:rsidR="00000000" w:rsidRPr="00000000">
        <w:rPr>
          <w:b w:val="1"/>
          <w:bCs w:val="1"/>
          <w:color w:val="212529"/>
          <w:sz w:val="18"/>
          <w:szCs w:val="18"/>
          <w:rtl w:val="0"/>
        </w:rPr>
        <w:t xml:space="preserve">Materia(s): </w:t>
      </w:r>
      <w:r w:rsidDel="00000000" w:rsidR="00000000" w:rsidRPr="00000000">
        <w:rPr>
          <w:color w:val="212529"/>
          <w:sz w:val="18"/>
          <w:szCs w:val="18"/>
          <w:rtl w:val="0"/>
        </w:rPr>
        <w:t xml:space="preserve">Constitucional, Común. </w:t>
      </w:r>
      <w:r w:rsidDel="00000000" w:rsidR="00000000" w:rsidRPr="00000000">
        <w:rPr>
          <w:b w:val="1"/>
          <w:bCs w:val="1"/>
          <w:color w:val="212529"/>
          <w:sz w:val="18"/>
          <w:szCs w:val="18"/>
          <w:rtl w:val="0"/>
        </w:rPr>
        <w:t xml:space="preserve">Tesis: </w:t>
      </w:r>
      <w:r w:rsidDel="00000000" w:rsidR="00000000" w:rsidRPr="00000000">
        <w:rPr>
          <w:color w:val="212529"/>
          <w:sz w:val="18"/>
          <w:szCs w:val="18"/>
          <w:rtl w:val="0"/>
        </w:rPr>
        <w:t xml:space="preserve">P./J. 55/97. </w:t>
      </w:r>
      <w:r w:rsidDel="00000000" w:rsidR="00000000" w:rsidRPr="00000000">
        <w:rPr>
          <w:b w:val="1"/>
          <w:bCs w:val="1"/>
          <w:color w:val="212529"/>
          <w:sz w:val="18"/>
          <w:szCs w:val="18"/>
          <w:rtl w:val="0"/>
        </w:rPr>
        <w:t xml:space="preserve">Fuente: </w:t>
      </w:r>
      <w:r w:rsidDel="00000000" w:rsidR="00000000" w:rsidRPr="00000000">
        <w:rPr>
          <w:color w:val="212529"/>
          <w:sz w:val="18"/>
          <w:szCs w:val="18"/>
          <w:rtl w:val="0"/>
        </w:rPr>
        <w:t xml:space="preserve">Semanario Judicial de la Federación y su Gaceta. Tomo VI, Julio de 1997, página 5. </w:t>
      </w:r>
      <w:r w:rsidDel="00000000" w:rsidR="00000000" w:rsidRPr="00000000">
        <w:rPr>
          <w:b w:val="1"/>
          <w:bCs w:val="1"/>
          <w:color w:val="212529"/>
          <w:sz w:val="18"/>
          <w:szCs w:val="18"/>
          <w:rtl w:val="0"/>
        </w:rPr>
        <w:t xml:space="preserve">Tipo: </w:t>
      </w:r>
      <w:r w:rsidDel="00000000" w:rsidR="00000000" w:rsidRPr="00000000">
        <w:rPr>
          <w:color w:val="212529"/>
          <w:sz w:val="18"/>
          <w:szCs w:val="18"/>
          <w:rtl w:val="0"/>
        </w:rPr>
        <w:t xml:space="preserve">Jurisprudencia</w:t>
      </w:r>
    </w:p>
  </w:footnote>
  <w:footnote w:id="4">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TCC;10a. Época;Gaceta del Semanario Judicial de la Federación;I.1o.A.E.36 K (10a.) ;TA; Publicación: viernes 09 de octubre de 2015 11:00 h</w:t>
      </w:r>
    </w:p>
  </w:footnote>
  <w:footnote w:id="5">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hyperlink r:id="rId4">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TCC;10a. Época;Gaceta del Semanario Judicial de la Federación;XXII.1o.A.C.3 K (10a.) ;TA; Publicación: viernes 06 de julio de 2018 10:13 h</w:t>
        </w:r>
      </w:hyperlink>
      <w:r w:rsidDel="00000000" w:rsidR="00000000" w:rsidRPr="00000000">
        <w:rPr>
          <w:rtl w:val="0"/>
        </w:rPr>
      </w:r>
    </w:p>
  </w:footnote>
  <w:footnote w:id="6">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SCJN;10a. Época;Gaceta del Semanario Judicial de la Federación;2a./J. 162/2015 (10a.) ;J; Publicación: viernes 29 de enero de 2016 11:00 h</w:t>
      </w:r>
    </w:p>
  </w:footnote>
  <w:footnote w:id="7">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TCC;11a. Época;Gaceta del Semanario Judicial de la Federación;XV.2o.1 K (11a.) ;TA; Publicación: viernes 25 de noviembre de 2022 10:36 h</w:t>
      </w:r>
    </w:p>
  </w:footnote>
  <w:footnote w:id="8">
    <w:p w:rsidR="00000000" w:rsidDel="00000000" w:rsidP="00000000" w:rsidRDefault="00000000" w:rsidRPr="00000000" w14:paraId="000001C9">
      <w:pPr>
        <w:spacing w:before="126" w:lineRule="auto"/>
        <w:ind w:right="373"/>
        <w:jc w:val="both"/>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24"/>
          <w:szCs w:val="24"/>
          <w:vertAlign w:val="subscript"/>
          <w:rtl w:val="0"/>
        </w:rPr>
        <w:t xml:space="preserve"> Agricultores de muchas partes del país advierten que esta disposición implica un riesgo grave para la propiedad y operación de terrenos agrícolas reduciendo el valor productivo de ranchos y parcelas que quedarían sin derecho al agua a la muerte del titular.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ff"/>
          <w:sz w:val="20"/>
          <w:szCs w:val="20"/>
          <w:u w:val="single"/>
          <w:rtl w:val="0"/>
        </w:rPr>
        <w:t xml:space="preserve">https://oem.com.mx/elheraldodechihuahua/local/agricultores-advierten-afectaciones-con-nueva-ley-</w:t>
      </w:r>
      <w:r w:rsidDel="00000000" w:rsidR="00000000" w:rsidRPr="00000000">
        <w:rPr>
          <w:rFonts w:ascii="Cambria" w:cs="Cambria" w:eastAsia="Cambria" w:hAnsi="Cambria"/>
          <w:color w:val="0000ff"/>
          <w:sz w:val="20"/>
          <w:szCs w:val="20"/>
          <w:rtl w:val="0"/>
        </w:rPr>
        <w:t xml:space="preserve"> </w:t>
      </w:r>
      <w:r w:rsidDel="00000000" w:rsidR="00000000" w:rsidRPr="00000000">
        <w:rPr>
          <w:rFonts w:ascii="Cambria" w:cs="Cambria" w:eastAsia="Cambria" w:hAnsi="Cambria"/>
          <w:color w:val="0000ff"/>
          <w:sz w:val="20"/>
          <w:szCs w:val="20"/>
          <w:u w:val="single"/>
          <w:rtl w:val="0"/>
        </w:rPr>
        <w:t xml:space="preserve">nacional-de-aguas-26504556</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9">
    <w:p w:rsidR="00000000" w:rsidDel="00000000" w:rsidP="00000000" w:rsidRDefault="00000000" w:rsidRPr="00000000" w14:paraId="000001CB">
      <w:pPr>
        <w:spacing w:line="240" w:lineRule="auto"/>
        <w:rPr>
          <w:sz w:val="20"/>
          <w:szCs w:val="20"/>
        </w:rPr>
      </w:pPr>
      <w:r w:rsidDel="00000000" w:rsidR="00000000" w:rsidRPr="00000000">
        <w:rPr>
          <w:rStyle w:val="FootnoteReference"/>
          <w:vertAlign w:val="superscript"/>
        </w:rPr>
        <w:footnoteRef/>
      </w:r>
      <w:r w:rsidDel="00000000" w:rsidR="00000000" w:rsidRPr="00000000">
        <w:rPr>
          <w:b w:val="1"/>
          <w:bCs w:val="1"/>
          <w:sz w:val="20"/>
          <w:szCs w:val="20"/>
          <w:rtl w:val="0"/>
        </w:rPr>
        <w:t xml:space="preserve">Suprema Corte de Justicia de la Nación</w:t>
      </w:r>
      <w:r w:rsidDel="00000000" w:rsidR="00000000" w:rsidRPr="00000000">
        <w:rPr>
          <w:sz w:val="20"/>
          <w:szCs w:val="20"/>
          <w:rtl w:val="0"/>
        </w:rPr>
        <w:t xml:space="preserve">. (4 de noviembre de 2015). </w:t>
      </w:r>
      <w:r w:rsidDel="00000000" w:rsidR="00000000" w:rsidRPr="00000000">
        <w:rPr>
          <w:i w:val="1"/>
          <w:iCs w:val="1"/>
          <w:sz w:val="20"/>
          <w:szCs w:val="20"/>
          <w:rtl w:val="0"/>
        </w:rPr>
        <w:t xml:space="preserve">Amparo en Revisión 237/2014</w:t>
      </w:r>
      <w:r w:rsidDel="00000000" w:rsidR="00000000" w:rsidRPr="00000000">
        <w:rPr>
          <w:sz w:val="20"/>
          <w:szCs w:val="20"/>
          <w:rtl w:val="0"/>
        </w:rPr>
        <w:t xml:space="preserve">. Recuperado de </w:t>
      </w:r>
      <w:hyperlink r:id="rId5">
        <w:r w:rsidDel="00000000" w:rsidR="00000000" w:rsidRPr="00000000">
          <w:rPr>
            <w:color w:val="1155cc"/>
            <w:sz w:val="20"/>
            <w:szCs w:val="20"/>
            <w:u w:val="single"/>
            <w:rtl w:val="0"/>
          </w:rPr>
          <w:t xml:space="preserve">https://sjf2.scjn.gob.mx/detalle/ejecutoria/32058</w:t>
        </w:r>
      </w:hyperlink>
      <w:r w:rsidDel="00000000" w:rsidR="00000000" w:rsidRPr="00000000">
        <w:rPr>
          <w:sz w:val="20"/>
          <w:szCs w:val="20"/>
          <w:rtl w:val="0"/>
        </w:rPr>
        <w:t xml:space="preserve"> </w:t>
      </w:r>
    </w:p>
  </w:footnote>
  <w:footnote w:id="10">
    <w:p w:rsidR="00000000" w:rsidDel="00000000" w:rsidP="00000000" w:rsidRDefault="00000000" w:rsidRPr="00000000" w14:paraId="000001CC">
      <w:pPr>
        <w:spacing w:line="240" w:lineRule="auto"/>
        <w:ind w:right="564"/>
        <w:rPr>
          <w:sz w:val="20"/>
          <w:szCs w:val="20"/>
        </w:rPr>
      </w:pPr>
      <w:r w:rsidDel="00000000" w:rsidR="00000000" w:rsidRPr="00000000">
        <w:rPr>
          <w:rStyle w:val="FootnoteReference"/>
          <w:vertAlign w:val="superscript"/>
        </w:rPr>
        <w:footnoteRef/>
      </w:r>
      <w:r w:rsidDel="00000000" w:rsidR="00000000" w:rsidRPr="00000000">
        <w:rPr>
          <w:b w:val="1"/>
          <w:bCs w:val="1"/>
          <w:sz w:val="20"/>
          <w:szCs w:val="20"/>
          <w:rtl w:val="0"/>
        </w:rPr>
        <w:t xml:space="preserve">Suprema Corte de Justicia de la Nación.</w:t>
      </w:r>
      <w:r w:rsidDel="00000000" w:rsidR="00000000" w:rsidRPr="00000000">
        <w:rPr>
          <w:sz w:val="20"/>
          <w:szCs w:val="20"/>
          <w:rtl w:val="0"/>
        </w:rPr>
        <w:t xml:space="preserve"> (2015). </w:t>
      </w:r>
      <w:r w:rsidDel="00000000" w:rsidR="00000000" w:rsidRPr="00000000">
        <w:rPr>
          <w:i w:val="1"/>
          <w:iCs w:val="1"/>
          <w:sz w:val="20"/>
          <w:szCs w:val="20"/>
          <w:rtl w:val="0"/>
        </w:rPr>
        <w:t xml:space="preserve">Sentencia en el expediente 2/184301/3126</w:t>
      </w:r>
      <w:r w:rsidDel="00000000" w:rsidR="00000000" w:rsidRPr="00000000">
        <w:rPr>
          <w:sz w:val="20"/>
          <w:szCs w:val="20"/>
          <w:rtl w:val="0"/>
        </w:rPr>
        <w:t xml:space="preserve">. Recuperado de</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https://www2.scjn.gob.mx/juridica/engroses/2/2015/2/2_184301_3126.doc</w:t>
        </w:r>
      </w:hyperlink>
      <w:r w:rsidDel="00000000" w:rsidR="00000000" w:rsidRPr="00000000">
        <w:rPr>
          <w:rtl w:val="0"/>
        </w:rPr>
      </w:r>
    </w:p>
  </w:footnote>
  <w:footnote w:id="11">
    <w:p w:rsidR="00000000" w:rsidDel="00000000" w:rsidP="00000000" w:rsidRDefault="00000000" w:rsidRPr="00000000" w14:paraId="000001C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Ibidem</w:t>
      </w:r>
    </w:p>
  </w:footnote>
  <w:footnote w:id="12">
    <w:p w:rsidR="00000000" w:rsidDel="00000000" w:rsidP="00000000" w:rsidRDefault="00000000" w:rsidRPr="00000000" w14:paraId="000001C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Ibidem </w:t>
      </w:r>
    </w:p>
  </w:footnote>
  <w:footnote w:id="13">
    <w:p w:rsidR="00000000" w:rsidDel="00000000" w:rsidP="00000000" w:rsidRDefault="00000000" w:rsidRPr="00000000" w14:paraId="000001C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Ibidem </w:t>
      </w:r>
    </w:p>
  </w:footnote>
  <w:footnote w:id="14">
    <w:p w:rsidR="00000000" w:rsidDel="00000000" w:rsidP="00000000" w:rsidRDefault="00000000" w:rsidRPr="00000000" w14:paraId="000001D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ibidem </w:t>
      </w:r>
    </w:p>
  </w:footnote>
  <w:footnote w:id="15">
    <w:p w:rsidR="00000000" w:rsidDel="00000000" w:rsidP="00000000" w:rsidRDefault="00000000" w:rsidRPr="00000000" w14:paraId="000001D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Ibidem  </w:t>
      </w:r>
    </w:p>
  </w:footnote>
  <w:footnote w:id="16">
    <w:p w:rsidR="00000000" w:rsidDel="00000000" w:rsidP="00000000" w:rsidRDefault="00000000" w:rsidRPr="00000000" w14:paraId="000001D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https://www.corteconstitucional.gov.co/relatoria/2011/T-527-11.htm</w:t>
        </w:r>
      </w:hyperlink>
      <w:r w:rsidDel="00000000" w:rsidR="00000000" w:rsidRPr="00000000">
        <w:rPr>
          <w:sz w:val="20"/>
          <w:szCs w:val="20"/>
          <w:rtl w:val="0"/>
        </w:rPr>
        <w:t xml:space="preserve"> </w:t>
      </w:r>
    </w:p>
  </w:footnote>
  <w:footnote w:id="17">
    <w:p w:rsidR="00000000" w:rsidDel="00000000" w:rsidP="00000000" w:rsidRDefault="00000000" w:rsidRPr="00000000" w14:paraId="000001D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https://www.corteconstitucional.gov.co/relatoria/2002/T-660-02.htm</w:t>
        </w:r>
      </w:hyperlink>
      <w:r w:rsidDel="00000000" w:rsidR="00000000" w:rsidRPr="00000000">
        <w:rPr>
          <w:sz w:val="20"/>
          <w:szCs w:val="20"/>
          <w:rtl w:val="0"/>
        </w:rPr>
        <w:t xml:space="preserve"> </w:t>
      </w:r>
    </w:p>
  </w:footnote>
  <w:footnote w:id="18">
    <w:p w:rsidR="00000000" w:rsidDel="00000000" w:rsidP="00000000" w:rsidRDefault="00000000" w:rsidRPr="00000000" w14:paraId="000001D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https://sjf2.scjn.gob.mx/detalle/tesis/2013883</w:t>
        </w:r>
      </w:hyperlink>
      <w:r w:rsidDel="00000000" w:rsidR="00000000" w:rsidRPr="00000000">
        <w:rPr>
          <w:sz w:val="20"/>
          <w:szCs w:val="20"/>
          <w:rtl w:val="0"/>
        </w:rPr>
        <w:t xml:space="preserve"> </w:t>
      </w:r>
    </w:p>
  </w:footnote>
  <w:footnote w:id="19">
    <w:p w:rsidR="00000000" w:rsidDel="00000000" w:rsidP="00000000" w:rsidRDefault="00000000" w:rsidRPr="00000000" w14:paraId="000001D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https://sjf2.scjn.gob.mx/detalle/tesis/2013881</w:t>
        </w:r>
      </w:hyperlink>
      <w:r w:rsidDel="00000000" w:rsidR="00000000" w:rsidRPr="00000000">
        <w:rPr>
          <w:sz w:val="20"/>
          <w:szCs w:val="20"/>
          <w:rtl w:val="0"/>
        </w:rPr>
        <w:t xml:space="preserve"> </w:t>
      </w:r>
    </w:p>
  </w:footnote>
  <w:footnote w:id="20">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Fierro Ferráez, Ana Elena y Abreu Sacramento, José Pablo.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Derechos humanos, derechos fundamentales y garantías individuales.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México, Ciudad de México, Editorial Oxford University Press, 2012, p. 163</w:t>
      </w:r>
    </w:p>
  </w:footnote>
  <w:footnote w:id="21">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Al respecto de esta teoría el maestro Ignacio Burgoa, explica que la teoría clásica, más que resolver el problema de la retroactividad lo complejiza, pues no existen criterios generales para saber cuándo gozamos de un derecho adquirido.</w:t>
      </w:r>
    </w:p>
  </w:footnote>
  <w:footnote w:id="22">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40" w:lineRule="auto"/>
        <w:jc w:val="both"/>
        <w:rPr>
          <w:b w:val="1"/>
          <w:bCs w:val="1"/>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P.J. 123/2001 emitida por la Segunda Sala de la Suprema Corte de Justicia de la Nación, visible en el Semanario Judicial de la Federación y su Gaceta, Novena Época, Tomo XIII, junio de 2001, de rubro: </w:t>
      </w:r>
      <w:r w:rsidDel="00000000" w:rsidR="00000000" w:rsidRPr="00000000">
        <w:rPr>
          <w:b w:val="1"/>
          <w:bCs w:val="1"/>
          <w:color w:val="000000"/>
          <w:sz w:val="20"/>
          <w:szCs w:val="20"/>
          <w:rtl w:val="0"/>
        </w:rPr>
        <w:t xml:space="preserve">RETROACTIVIDAD DE LAS LEYES. SU DETERMINACIÓN CONFORME A LA TEORÍA DE LOS COMPONENTES DE LA NORMA.</w:t>
      </w:r>
    </w:p>
  </w:footnote>
  <w:footnote w:id="23">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Amparo en revisión 51/2015, Segunda Sala, publicada en el Seminario Judicial de la Federación, Décima Época, 23 de octubre de 2015</w:t>
      </w:r>
    </w:p>
  </w:footnote>
  <w:footnote w:id="24">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40" w:lineRule="auto"/>
        <w:jc w:val="both"/>
        <w:rPr>
          <w:b w:val="1"/>
          <w:bCs w:val="1"/>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P.J. 123/2001 emitida por la Segunda Sala de la Suprema Corte de Justicia de la Nación, visible en el Semanario Judicial de la Federación y su Gaceta, Novena Época, Tomo XIII, junio de 2001, de rubro: </w:t>
      </w:r>
      <w:r w:rsidDel="00000000" w:rsidR="00000000" w:rsidRPr="00000000">
        <w:rPr>
          <w:b w:val="1"/>
          <w:bCs w:val="1"/>
          <w:color w:val="000000"/>
          <w:sz w:val="20"/>
          <w:szCs w:val="20"/>
          <w:rtl w:val="0"/>
        </w:rPr>
        <w:t xml:space="preserve">RETROACTIVIDAD DE LAS LEYES. SU DETERMINACIÓN CONFORME A LA TEORÍA DE LOS COMPONENTES DE LA NORMA.</w:t>
      </w:r>
      <w:r w:rsidDel="00000000" w:rsidR="00000000" w:rsidRPr="00000000">
        <w:rPr>
          <w:color w:val="000000"/>
          <w:sz w:val="20"/>
          <w:szCs w:val="20"/>
          <w:highlight w:val="white"/>
          <w:rtl w:val="0"/>
        </w:rPr>
        <w:t xml:space="preserve"> Conforme a la citada teoría, para determinar si una ley cumple con la garantía de irretroactividad prevista en el primer párrafo del artículo 14 de la Constitución Política de los Estados Unidos Mexicanos, </w:t>
      </w:r>
      <w:r w:rsidDel="00000000" w:rsidR="00000000" w:rsidRPr="00000000">
        <w:rPr>
          <w:color w:val="000000"/>
          <w:sz w:val="20"/>
          <w:szCs w:val="20"/>
          <w:highlight w:val="white"/>
          <w:u w:val="single"/>
          <w:rtl w:val="0"/>
        </w:rPr>
        <w:t xml:space="preserve">debe precisarse que toda norma jurídica contiene un supuesto y una consecuencia, de suerte que si aquél se realiza, ésta debe producirse, generándose, así, los derechos y obligaciones correspondientes y, con ello, los destinatarios de la norma están en posibilidad de ejercitar aquéllos y cumplir con éstas</w:t>
      </w:r>
      <w:r w:rsidDel="00000000" w:rsidR="00000000" w:rsidRPr="00000000">
        <w:rPr>
          <w:color w:val="000000"/>
          <w:sz w:val="20"/>
          <w:szCs w:val="20"/>
          <w:highlight w:val="white"/>
          <w:rtl w:val="0"/>
        </w:rPr>
        <w:t xml:space="preserve">; sin embargo, el supuesto y la consecuencia no siempre se generan de modo inmediato, pues puede suceder que su realización ocurra fraccionada en el tiempo. Esto acontece, por lo general, cuando el supuesto y la consecuencia son actos complejos, compuestos por diversos actos parciales. De esta forma, para resolver sobre la retroactividad o irretroactividad de una disposición jurídica, es fundamental determinar las hipótesis que pueden presentarse en relación con el tiempo en que se realicen los componentes de la norma jurídica. Al respecto cabe señalar que, generalmente y en principio, pueden darse las siguientes hipótesis: 1. Cuando durante la vigencia de una norma jurídica se actualizan, de modo inmediato, el supuesto y la consecuencia establecidos en ella. En este caso, ninguna disposición legal posterior podrá variar, suprimir o modificar aquel supuesto o esa consecuencia sin violar la garantía de irretroactividad, atento que fue antes de la vigencia de la nueva norma cuando se realizaron los componentes de la norma sustituida. 2. El caso en que la norma jurídica establece un supuesto y varias consecuencias sucesivas. Si dentro de la vigencia de esta norma se actualiza el supuesto y alguna o algunas de las consecuencias, pero no todas, ninguna norma posterior podrá variar los actos ya ejecutados sin ser retroactiva. 3. También puede suceder que la realización de alguna o algunas de las consecuencias de la ley anterior, que no se produjeron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 por la razón sencilla de que éstas no están supeditadas a las modalidades señaladas en la nueva ley. 4. Cuando la norma jurídica contempla un supuesto complejo, integrado por diversos actos parciales sucesivos y una consecuencia. En este caso, la norma posterior no podrá modificar los actos del supuesto que se haya realizado bajo la vigencia de la norma anterior que los previó, sin violar la garantía de irretroactividad. Pero en cuanto al resto de los actos componentes del supuesto que no se ejecutaron durante la vigencia de la norma que los previó, si son modificados por una norma posterior, ésta no puede considerarse retroactiva. En esta circunstancia, los actos o supuestos habrán de generarse bajo el imperio de la norma posterior y, consecuentemente, son las disposiciones de ésta las que deben regir su relación, así como la de las consecuencias que a tales supuestos se vinculan.</w:t>
      </w:r>
      <w:r w:rsidDel="00000000" w:rsidR="00000000" w:rsidRPr="00000000">
        <w:rPr>
          <w:rtl w:val="0"/>
        </w:rPr>
      </w:r>
    </w:p>
  </w:footnote>
  <w:footnote w:id="25">
    <w:p w:rsidR="00000000" w:rsidDel="00000000" w:rsidP="00000000" w:rsidRDefault="00000000" w:rsidRPr="00000000" w14:paraId="000001DB">
      <w:pPr>
        <w:pBdr>
          <w:top w:space="0" w:sz="0" w:val="nil"/>
          <w:left w:space="0" w:sz="0" w:val="nil"/>
          <w:bottom w:space="0" w:sz="0" w:val="nil"/>
          <w:right w:space="0" w:sz="0" w:val="nil"/>
          <w:between w:space="0" w:sz="0" w:val="nil"/>
        </w:pBdr>
        <w:jc w:val="both"/>
        <w:rPr>
          <w:rFonts w:ascii="Lucida Sans" w:cs="Lucida Sans" w:eastAsia="Lucida Sans" w:hAnsi="Lucida Sans"/>
          <w:color w:val="000000"/>
          <w:sz w:val="18"/>
          <w:szCs w:val="18"/>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color w:val="000000"/>
          <w:sz w:val="18"/>
          <w:szCs w:val="18"/>
          <w:rtl w:val="0"/>
        </w:rPr>
        <w:t xml:space="preserve"> Tribunales Colegiados de Circuito, Décima Época, Tesis: I.3o.C.35 K (10a.) Semanario Judicial de la Federación y su Gaceta. Libro XXVI, noviembre de 2013, Tomo 2, página 1373</w:t>
      </w:r>
    </w:p>
    <w:p w:rsidR="00000000" w:rsidDel="00000000" w:rsidP="00000000" w:rsidRDefault="00000000" w:rsidRPr="00000000" w14:paraId="000001DC">
      <w:pPr>
        <w:jc w:val="both"/>
        <w:rPr>
          <w:rFonts w:ascii="Lucida Sans" w:cs="Lucida Sans" w:eastAsia="Lucida Sans" w:hAnsi="Lucida Sans"/>
          <w:sz w:val="18"/>
          <w:szCs w:val="18"/>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decimal"/>
      <w:lvlText w:val="%1."/>
      <w:lvlJc w:val="left"/>
      <w:pPr>
        <w:ind w:left="720" w:hanging="360"/>
      </w:pPr>
      <w:rPr>
        <w:b w:val="1"/>
        <w:bCs w:val="1"/>
        <w:i w:val="0"/>
        <w:i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7164" w:hanging="360"/>
      </w:pPr>
      <w:rPr>
        <w:b w:val="1"/>
        <w:bCs w:val="1"/>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upperRoman"/>
      <w:lvlText w:val="%1."/>
      <w:lvlJc w:val="left"/>
      <w:pPr>
        <w:ind w:left="1339" w:hanging="720"/>
      </w:pPr>
      <w:rPr/>
    </w:lvl>
    <w:lvl w:ilvl="1">
      <w:start w:val="1"/>
      <w:numFmt w:val="decimal"/>
      <w:lvlText w:val="%2."/>
      <w:lvlJc w:val="left"/>
      <w:pPr>
        <w:ind w:left="1339" w:hanging="286"/>
      </w:pPr>
      <w:rPr>
        <w:rFonts w:ascii="Lucida Sans" w:cs="Lucida Sans" w:eastAsia="Lucida Sans" w:hAnsi="Lucida Sans"/>
        <w:b w:val="0"/>
        <w:bCs w:val="0"/>
        <w:i w:val="0"/>
        <w:iCs w:val="0"/>
        <w:sz w:val="24"/>
        <w:szCs w:val="24"/>
      </w:rPr>
    </w:lvl>
    <w:lvl w:ilvl="2">
      <w:start w:val="0"/>
      <w:numFmt w:val="bullet"/>
      <w:lvlText w:val="•"/>
      <w:lvlJc w:val="left"/>
      <w:pPr>
        <w:ind w:left="2944" w:hanging="286.00000000000045"/>
      </w:pPr>
      <w:rPr/>
    </w:lvl>
    <w:lvl w:ilvl="3">
      <w:start w:val="0"/>
      <w:numFmt w:val="bullet"/>
      <w:lvlText w:val="•"/>
      <w:lvlJc w:val="left"/>
      <w:pPr>
        <w:ind w:left="3746" w:hanging="286"/>
      </w:pPr>
      <w:rPr/>
    </w:lvl>
    <w:lvl w:ilvl="4">
      <w:start w:val="0"/>
      <w:numFmt w:val="bullet"/>
      <w:lvlText w:val="•"/>
      <w:lvlJc w:val="left"/>
      <w:pPr>
        <w:ind w:left="4548" w:hanging="286"/>
      </w:pPr>
      <w:rPr/>
    </w:lvl>
    <w:lvl w:ilvl="5">
      <w:start w:val="0"/>
      <w:numFmt w:val="bullet"/>
      <w:lvlText w:val="•"/>
      <w:lvlJc w:val="left"/>
      <w:pPr>
        <w:ind w:left="5350" w:hanging="286"/>
      </w:pPr>
      <w:rPr/>
    </w:lvl>
    <w:lvl w:ilvl="6">
      <w:start w:val="0"/>
      <w:numFmt w:val="bullet"/>
      <w:lvlText w:val="•"/>
      <w:lvlJc w:val="left"/>
      <w:pPr>
        <w:ind w:left="6152" w:hanging="286"/>
      </w:pPr>
      <w:rPr/>
    </w:lvl>
    <w:lvl w:ilvl="7">
      <w:start w:val="0"/>
      <w:numFmt w:val="bullet"/>
      <w:lvlText w:val="•"/>
      <w:lvlJc w:val="left"/>
      <w:pPr>
        <w:ind w:left="6954" w:hanging="286"/>
      </w:pPr>
      <w:rPr/>
    </w:lvl>
    <w:lvl w:ilvl="8">
      <w:start w:val="0"/>
      <w:numFmt w:val="bullet"/>
      <w:lvlText w:val="•"/>
      <w:lvlJc w:val="left"/>
      <w:pPr>
        <w:ind w:left="7756" w:hanging="286"/>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644" w:hanging="357.9999999999999"/>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121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9E7B07"/>
    <w:rPr>
      <w:rFonts w:ascii="Arial" w:cs="Arial" w:eastAsia="Arial" w:hAnsi="Arial"/>
      <w:sz w:val="40"/>
      <w:szCs w:val="40"/>
      <w:lang w:eastAsia="es-MX" w:val="es-419"/>
    </w:rPr>
  </w:style>
  <w:style w:type="character" w:styleId="Ttulo3Car" w:customStyle="1">
    <w:name w:val="Título 3 Car"/>
    <w:basedOn w:val="Fuentedeprrafopredeter"/>
    <w:link w:val="Ttulo3"/>
    <w:uiPriority w:val="9"/>
    <w:rsid w:val="009E7B07"/>
    <w:rPr>
      <w:rFonts w:ascii="Arial" w:cs="Arial" w:eastAsia="Arial" w:hAnsi="Arial"/>
      <w:color w:val="434343"/>
      <w:sz w:val="28"/>
      <w:szCs w:val="28"/>
      <w:lang w:eastAsia="es-MX" w:val="es-419"/>
    </w:rPr>
  </w:style>
  <w:style w:type="character" w:styleId="Ttulo4Car" w:customStyle="1">
    <w:name w:val="Título 4 Car"/>
    <w:basedOn w:val="Fuentedeprrafopredeter"/>
    <w:link w:val="Ttulo4"/>
    <w:uiPriority w:val="9"/>
    <w:rsid w:val="009E7B07"/>
    <w:rPr>
      <w:rFonts w:ascii="Arial" w:cs="Arial" w:eastAsia="Arial" w:hAnsi="Arial"/>
      <w:color w:val="666666"/>
      <w:sz w:val="24"/>
      <w:szCs w:val="24"/>
      <w:lang w:eastAsia="es-MX" w:val="es-419"/>
    </w:rPr>
  </w:style>
  <w:style w:type="paragraph" w:styleId="Prrafodelista">
    <w:name w:val="List Paragraph"/>
    <w:aliases w:val="4 Párrafo de lista,Figuras,Dot pt,No Spacing1,List Paragraph Char Char Char,Indicator Text,List Paragraph1,Numbered Para 1,DH1,Listas,lp1,Light Grid - Accent 31,TEXTO GENERAL SENTENCIAS,Cita texto,Footnote,Lista de nivel 1,Bullet 1,D,DH"/>
    <w:basedOn w:val="Normal"/>
    <w:link w:val="PrrafodelistaCar"/>
    <w:uiPriority w:val="1"/>
    <w:qFormat w:val="1"/>
    <w:rsid w:val="009E7B07"/>
    <w:pPr>
      <w:spacing w:line="240" w:lineRule="auto"/>
      <w:ind w:left="720"/>
      <w:contextualSpacing w:val="1"/>
    </w:pPr>
    <w:rPr>
      <w:rFonts w:ascii="Times New Roman" w:cs="Times New Roman" w:eastAsia="Times New Roman" w:hAnsi="Times New Roman"/>
      <w:sz w:val="24"/>
      <w:szCs w:val="24"/>
      <w:lang w:val="es-ES_tradnl"/>
    </w:rPr>
  </w:style>
  <w:style w:type="character" w:styleId="PrrafodelistaCar" w:customStyle="1">
    <w:name w:val="Párrafo de lista Car"/>
    <w:aliases w:val="4 Párrafo de lista Car,Figuras Car,Dot pt Car,No Spacing1 Car,List Paragraph Char Char Char Car,Indicator Text Car,List Paragraph1 Car,Numbered Para 1 Car,DH1 Car,Listas Car,lp1 Car,Light Grid - Accent 31 Car,Cita texto Car,D Car"/>
    <w:link w:val="Prrafodelista"/>
    <w:uiPriority w:val="34"/>
    <w:qFormat w:val="1"/>
    <w:rsid w:val="009E7B07"/>
    <w:rPr>
      <w:rFonts w:ascii="Times New Roman" w:cs="Times New Roman" w:eastAsia="Times New Roman" w:hAnsi="Times New Roman"/>
      <w:sz w:val="24"/>
      <w:szCs w:val="24"/>
      <w:lang w:eastAsia="es-MX" w:val="es-ES_tradnl"/>
    </w:rPr>
  </w:style>
  <w:style w:type="character" w:styleId="Refdenotaalpie">
    <w:name w:val="footnote reference"/>
    <w:aliases w:val="Ref. de nota al pie 2,Texto de nota al pie,Footnotes refss,Appel note de bas de page,referencia nota al pie,BVI fnr,Footnote number,f,4_G,16 Point,Superscript 6 Point,Texto nota al pie,Footnote Reference Char3,ftref,Ref. de nota al,R"/>
    <w:basedOn w:val="Fuentedeprrafopredeter"/>
    <w:link w:val="4GChar"/>
    <w:uiPriority w:val="99"/>
    <w:unhideWhenUsed w:val="1"/>
    <w:qFormat w:val="1"/>
    <w:rsid w:val="009E7B07"/>
    <w:rPr>
      <w:vertAlign w:val="superscript"/>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val="1"/>
    <w:rsid w:val="009E7B07"/>
    <w:pPr>
      <w:spacing w:line="240" w:lineRule="auto"/>
      <w:jc w:val="both"/>
    </w:pPr>
    <w:rPr>
      <w:rFonts w:asciiTheme="minorHAnsi" w:cstheme="minorBidi" w:eastAsiaTheme="minorHAnsi" w:hAnsiTheme="minorHAnsi"/>
      <w:vertAlign w:val="superscript"/>
      <w:lang w:eastAsia="en-US" w:val="es-MX"/>
    </w:rPr>
  </w:style>
  <w:style w:type="paragraph" w:styleId="Textonotapie">
    <w:name w:val="footnote text"/>
    <w:aliases w:val="Footnote Text Char Char Char Char Char,Footnote Text Char Char Char Char,Footnote reference,FA Fu, Car,Footnote Text Char Char Char,Car Car,Car Car Car,Footnote Text Cha,FA Fußnotentext,FA Fuﬂnotentext,Footnote Text Char Char,ALTS FOOTNOT"/>
    <w:basedOn w:val="Normal"/>
    <w:link w:val="TextonotapieCar"/>
    <w:uiPriority w:val="99"/>
    <w:unhideWhenUsed w:val="1"/>
    <w:qFormat w:val="1"/>
    <w:rsid w:val="009E7B07"/>
    <w:pPr>
      <w:spacing w:line="240" w:lineRule="auto"/>
    </w:pPr>
    <w:rPr>
      <w:rFonts w:asciiTheme="minorHAnsi" w:cstheme="minorBidi" w:eastAsiaTheme="minorHAnsi" w:hAnsiTheme="minorHAnsi"/>
      <w:kern w:val="2"/>
      <w:sz w:val="20"/>
      <w:szCs w:val="20"/>
      <w:lang w:eastAsia="en-US" w:val="es-MX"/>
    </w:rPr>
  </w:style>
  <w:style w:type="character" w:styleId="TextonotapieCar" w:customStyle="1">
    <w:name w:val="Texto nota pie Car"/>
    <w:aliases w:val="Footnote Text Char Char Char Char Char Car,Footnote Text Char Char Char Char Car,Footnote reference Car,FA Fu Car, Car Car,Footnote Text Char Char Char Car,Car Car Car1,Car Car Car Car,Footnote Text Cha Car,FA Fußnotentext Car"/>
    <w:basedOn w:val="Fuentedeprrafopredeter"/>
    <w:link w:val="Textonotapie"/>
    <w:uiPriority w:val="99"/>
    <w:qFormat w:val="1"/>
    <w:rsid w:val="009E7B07"/>
    <w:rPr>
      <w:kern w:val="2"/>
      <w:sz w:val="20"/>
      <w:szCs w:val="20"/>
    </w:rPr>
  </w:style>
  <w:style w:type="character" w:styleId="Hipervnculo">
    <w:name w:val="Hyperlink"/>
    <w:basedOn w:val="Fuentedeprrafopredeter"/>
    <w:uiPriority w:val="99"/>
    <w:unhideWhenUsed w:val="1"/>
    <w:rsid w:val="009E7B07"/>
    <w:rPr>
      <w:color w:val="0563c1" w:themeColor="hyperlink"/>
      <w:u w:val="single"/>
    </w:rPr>
  </w:style>
  <w:style w:type="paragraph" w:styleId="corte4fondo" w:customStyle="1">
    <w:name w:val="corte4 fondo"/>
    <w:basedOn w:val="Normal"/>
    <w:link w:val="corte4fondoCar1"/>
    <w:qFormat w:val="1"/>
    <w:rsid w:val="009E7B07"/>
    <w:pPr>
      <w:spacing w:line="360" w:lineRule="auto"/>
      <w:ind w:firstLine="709"/>
      <w:jc w:val="both"/>
    </w:pPr>
    <w:rPr>
      <w:rFonts w:cs="Calibri" w:eastAsia="Times New Roman"/>
      <w:sz w:val="30"/>
      <w:szCs w:val="20"/>
      <w:lang w:val="es-ES_tradnl"/>
    </w:rPr>
  </w:style>
  <w:style w:type="character" w:styleId="corte4fondoCar1" w:customStyle="1">
    <w:name w:val="corte4 fondo Car1"/>
    <w:link w:val="corte4fondo"/>
    <w:rsid w:val="009E7B07"/>
    <w:rPr>
      <w:rFonts w:ascii="Arial" w:cs="Calibri" w:eastAsia="Times New Roman" w:hAnsi="Arial"/>
      <w:sz w:val="30"/>
      <w:szCs w:val="20"/>
      <w:lang w:eastAsia="es-MX" w:val="es-ES_tradnl"/>
    </w:rPr>
  </w:style>
  <w:style w:type="paragraph" w:styleId="Piedepgina">
    <w:name w:val="footer"/>
    <w:basedOn w:val="Normal"/>
    <w:link w:val="PiedepginaCar"/>
    <w:uiPriority w:val="99"/>
    <w:unhideWhenUsed w:val="1"/>
    <w:rsid w:val="009E7B0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9E7B07"/>
    <w:rPr>
      <w:rFonts w:ascii="Arial" w:cs="Arial" w:eastAsia="Arial" w:hAnsi="Arial"/>
      <w:lang w:eastAsia="es-MX" w:val="es-419"/>
    </w:rPr>
  </w:style>
  <w:style w:type="character" w:styleId="Nmerodepgina">
    <w:name w:val="page number"/>
    <w:basedOn w:val="Fuentedeprrafopredeter"/>
    <w:uiPriority w:val="99"/>
    <w:semiHidden w:val="1"/>
    <w:unhideWhenUsed w:val="1"/>
    <w:rsid w:val="009E7B07"/>
  </w:style>
  <w:style w:type="character" w:styleId="Mencinsinresolver">
    <w:name w:val="Unresolved Mention"/>
    <w:basedOn w:val="Fuentedeprrafopredeter"/>
    <w:uiPriority w:val="99"/>
    <w:semiHidden w:val="1"/>
    <w:unhideWhenUsed w:val="1"/>
    <w:rsid w:val="00565753"/>
    <w:rPr>
      <w:color w:val="605e5c"/>
      <w:shd w:color="auto" w:fill="e1dfdd" w:val="clear"/>
    </w:rPr>
  </w:style>
  <w:style w:type="character" w:styleId="Ttulo2Car" w:customStyle="1">
    <w:name w:val="Título 2 Car"/>
    <w:basedOn w:val="Fuentedeprrafopredeter"/>
    <w:link w:val="Ttulo2"/>
    <w:uiPriority w:val="9"/>
    <w:semiHidden w:val="1"/>
    <w:rsid w:val="00652EEA"/>
    <w:rPr>
      <w:rFonts w:asciiTheme="majorHAnsi" w:cstheme="majorBidi" w:eastAsiaTheme="majorEastAsia" w:hAnsiTheme="majorHAnsi"/>
      <w:color w:val="2f5496" w:themeColor="accent1" w:themeShade="0000BF"/>
      <w:sz w:val="26"/>
      <w:szCs w:val="26"/>
      <w:lang w:eastAsia="es-MX" w:val="es-419"/>
    </w:rPr>
  </w:style>
  <w:style w:type="table" w:styleId="TableNormal" w:customStyle="1">
    <w:name w:val="Table Normal"/>
    <w:uiPriority w:val="2"/>
    <w:semiHidden w:val="1"/>
    <w:unhideWhenUsed w:val="1"/>
    <w:qFormat w:val="1"/>
    <w:rsid w:val="00652EEA"/>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652EEA"/>
    <w:pPr>
      <w:widowControl w:val="0"/>
      <w:autoSpaceDE w:val="0"/>
      <w:autoSpaceDN w:val="0"/>
      <w:spacing w:line="240" w:lineRule="auto"/>
    </w:pPr>
    <w:rPr>
      <w:rFonts w:ascii="Century Gothic" w:cs="Century Gothic" w:eastAsia="Century Gothic" w:hAnsi="Century Gothic"/>
      <w:sz w:val="24"/>
      <w:szCs w:val="24"/>
      <w:lang w:eastAsia="en-US" w:val="es-ES"/>
    </w:rPr>
  </w:style>
  <w:style w:type="character" w:styleId="TextoindependienteCar" w:customStyle="1">
    <w:name w:val="Texto independiente Car"/>
    <w:basedOn w:val="Fuentedeprrafopredeter"/>
    <w:link w:val="Textoindependiente"/>
    <w:uiPriority w:val="1"/>
    <w:rsid w:val="00652EEA"/>
    <w:rPr>
      <w:rFonts w:ascii="Century Gothic" w:cs="Century Gothic" w:eastAsia="Century Gothic" w:hAnsi="Century Gothic"/>
      <w:sz w:val="24"/>
      <w:szCs w:val="24"/>
      <w:lang w:val="es-ES"/>
    </w:rPr>
  </w:style>
  <w:style w:type="paragraph" w:styleId="TableParagraph" w:customStyle="1">
    <w:name w:val="Table Paragraph"/>
    <w:basedOn w:val="Normal"/>
    <w:uiPriority w:val="1"/>
    <w:qFormat w:val="1"/>
    <w:rsid w:val="00652EEA"/>
    <w:pPr>
      <w:widowControl w:val="0"/>
      <w:autoSpaceDE w:val="0"/>
      <w:autoSpaceDN w:val="0"/>
      <w:spacing w:before="82" w:line="240" w:lineRule="auto"/>
      <w:ind w:left="81"/>
    </w:pPr>
    <w:rPr>
      <w:rFonts w:ascii="Century Gothic" w:cs="Century Gothic" w:eastAsia="Century Gothic" w:hAnsi="Century Gothic"/>
      <w:lang w:eastAsia="en-US" w:val="es-ES"/>
    </w:rPr>
  </w:style>
  <w:style w:type="paragraph" w:styleId="Encabezado">
    <w:name w:val="header"/>
    <w:basedOn w:val="Normal"/>
    <w:link w:val="EncabezadoCar"/>
    <w:uiPriority w:val="99"/>
    <w:unhideWhenUsed w:val="1"/>
    <w:rsid w:val="002C597B"/>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2C597B"/>
    <w:rPr>
      <w:rFonts w:ascii="Arial" w:cs="Arial" w:eastAsia="Arial" w:hAnsi="Arial"/>
      <w:lang w:eastAsia="es-MX" w:val="es-419"/>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hyperlink" Target="https://www.oaj.gob.mx/transparencia/paginas/diasInhabiles.htm#2025" TargetMode="External"/><Relationship Id="rId13" Type="http://schemas.openxmlformats.org/officeDocument/2006/relationships/header" Target="header1.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dj.gob.mx" TargetMode="External"/><Relationship Id="rId15" Type="http://schemas.openxmlformats.org/officeDocument/2006/relationships/header" Target="header2.xml"/><Relationship Id="rId14" Type="http://schemas.openxmlformats.org/officeDocument/2006/relationships/footer" Target="footer2.xml"/><Relationship Id="rId16"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serviciosenlinea.pjf.gob.mx/juicioenlin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775799&amp;fecha=11/12/2025#gsc.tab=0" TargetMode="External"/><Relationship Id="rId2" Type="http://schemas.openxmlformats.org/officeDocument/2006/relationships/hyperlink" Target="https://gaceta.diputados.gob.mx/PDF/66/2025/dic/20251203-VI.pdf#page=2" TargetMode="External"/><Relationship Id="rId3" Type="http://schemas.openxmlformats.org/officeDocument/2006/relationships/hyperlink" Target="https://www.senado.gob.mx/66/votacion/5007" TargetMode="External"/><Relationship Id="rId4" Type="http://schemas.openxmlformats.org/officeDocument/2006/relationships/hyperlink" Target="https://sjf2.scjn.gob.mx/detalle/tesis/2017347" TargetMode="External"/><Relationship Id="rId11" Type="http://schemas.openxmlformats.org/officeDocument/2006/relationships/hyperlink" Target="https://sjf2.scjn.gob.mx/detalle/tesis/2013881" TargetMode="External"/><Relationship Id="rId10" Type="http://schemas.openxmlformats.org/officeDocument/2006/relationships/hyperlink" Target="https://sjf2.scjn.gob.mx/detalle/tesis/2013883" TargetMode="External"/><Relationship Id="rId9" Type="http://schemas.openxmlformats.org/officeDocument/2006/relationships/hyperlink" Target="https://www.corteconstitucional.gov.co/relatoria/2002/T-660-02.htm" TargetMode="External"/><Relationship Id="rId5" Type="http://schemas.openxmlformats.org/officeDocument/2006/relationships/hyperlink" Target="https://sjf2.scjn.gob.mx/detalle/ejecutoria/32058" TargetMode="External"/><Relationship Id="rId6" Type="http://schemas.openxmlformats.org/officeDocument/2006/relationships/hyperlink" Target="https://www2.scjn.gob.mx/juridica/engroses/2/2015/2/2_184301_3126.doc" TargetMode="External"/><Relationship Id="rId7" Type="http://schemas.openxmlformats.org/officeDocument/2006/relationships/hyperlink" Target="https://www2.scjn.gob.mx/juridica/engroses/2/2015/2/2_184301_3126.doc" TargetMode="External"/><Relationship Id="rId8" Type="http://schemas.openxmlformats.org/officeDocument/2006/relationships/hyperlink" Target="https://www.corteconstitucional.gov.co/relatoria/2011/T-527-11.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i+HIPc61RnNUcc9okGWnHNgg==">CgMxLjAyDmgud2Zhb2xkeHdkNjI5OAByITEtaHFSLW4ydEVZcmVSbVpIUXB1aHc5Tkw0UURwc0I3NQ==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2025-12-18T00:40:00Z</dcterms:created>
  <dc:creator>Everardo Rojas</dc:creator>
</cp:coreProperties>
</file>