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9" w:lineRule="auto"/>
        <w:jc w:val="center"/>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INSTRUCCIONES PARA EL AMPARO EN CONTRA DE LA FALTA DE CONSULTA A LAS COMUNIDADES INDÍGENAS</w:t>
      </w:r>
    </w:p>
    <w:p w:rsidR="00000000" w:rsidDel="00000000" w:rsidP="00000000" w:rsidRDefault="00000000" w:rsidRPr="00000000" w14:paraId="00000002">
      <w:pPr>
        <w:spacing w:line="279"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3">
      <w:pPr>
        <w:numPr>
          <w:ilvl w:val="0"/>
          <w:numId w:val="6"/>
        </w:numPr>
        <w:spacing w:after="0"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Este amparo lo pueden solicitar los representantes de los pueblos y comunidades indígenas del Estado de Chihuahua. </w:t>
      </w:r>
    </w:p>
    <w:p w:rsidR="00000000" w:rsidDel="00000000" w:rsidP="00000000" w:rsidRDefault="00000000" w:rsidRPr="00000000" w14:paraId="00000004">
      <w:pPr>
        <w:spacing w:after="0"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5">
      <w:pPr>
        <w:spacing w:after="0" w:line="279" w:lineRule="auto"/>
        <w:ind w:left="720" w:firstLine="0"/>
        <w:jc w:val="both"/>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En la primera página de la demanda se deberá tomar en cuenta lo siguiente: </w:t>
      </w:r>
    </w:p>
    <w:p w:rsidR="00000000" w:rsidDel="00000000" w:rsidP="00000000" w:rsidRDefault="00000000" w:rsidRPr="00000000" w14:paraId="00000006">
      <w:pPr>
        <w:spacing w:after="0" w:line="279" w:lineRule="auto"/>
        <w:ind w:left="720" w:firstLine="0"/>
        <w:jc w:val="both"/>
        <w:rPr>
          <w:rFonts w:ascii="Aptos" w:cs="Aptos" w:eastAsia="Aptos" w:hAnsi="Aptos"/>
          <w:b w:val="1"/>
          <w:bCs w:val="1"/>
          <w:sz w:val="24"/>
          <w:szCs w:val="24"/>
        </w:rPr>
      </w:pPr>
      <w:r w:rsidDel="00000000" w:rsidR="00000000" w:rsidRPr="00000000">
        <w:rPr>
          <w:rtl w:val="0"/>
        </w:rPr>
      </w:r>
    </w:p>
    <w:p w:rsidR="00000000" w:rsidDel="00000000" w:rsidP="00000000" w:rsidRDefault="00000000" w:rsidRPr="00000000" w14:paraId="00000007">
      <w:pPr>
        <w:numPr>
          <w:ilvl w:val="0"/>
          <w:numId w:val="6"/>
        </w:numPr>
        <w:spacing w:after="0"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Especificar el cargo que se ejerce en la comunidad, a fin de acreditar la representación de ésta. </w:t>
      </w:r>
    </w:p>
    <w:p w:rsidR="00000000" w:rsidDel="00000000" w:rsidP="00000000" w:rsidRDefault="00000000" w:rsidRPr="00000000" w14:paraId="00000008">
      <w:pPr>
        <w:spacing w:after="0"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9">
      <w:pPr>
        <w:numPr>
          <w:ilvl w:val="0"/>
          <w:numId w:val="6"/>
        </w:numPr>
        <w:spacing w:after="0"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Señalar la comunidad a la que se está amparando. </w:t>
      </w:r>
    </w:p>
    <w:p w:rsidR="00000000" w:rsidDel="00000000" w:rsidP="00000000" w:rsidRDefault="00000000" w:rsidRPr="00000000" w14:paraId="0000000A">
      <w:pPr>
        <w:spacing w:after="0"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B">
      <w:pPr>
        <w:numPr>
          <w:ilvl w:val="0"/>
          <w:numId w:val="6"/>
        </w:numPr>
        <w:spacing w:after="0"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Señalar domicilio y correo electrónico para oír y recibir notificaciones.</w:t>
      </w:r>
    </w:p>
    <w:p w:rsidR="00000000" w:rsidDel="00000000" w:rsidP="00000000" w:rsidRDefault="00000000" w:rsidRPr="00000000" w14:paraId="0000000C">
      <w:pPr>
        <w:spacing w:after="0"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D">
      <w:pPr>
        <w:numPr>
          <w:ilvl w:val="0"/>
          <w:numId w:val="6"/>
        </w:numPr>
        <w:spacing w:after="0"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Para acreditar el carácter de representante de una comunidad indígena, se debe agregar a la demanda el acta de asamblea correspondiente en copia certificada u original, mencionando la fecha de esta. </w:t>
      </w:r>
    </w:p>
    <w:p w:rsidR="00000000" w:rsidDel="00000000" w:rsidP="00000000" w:rsidRDefault="00000000" w:rsidRPr="00000000" w14:paraId="0000000E">
      <w:pPr>
        <w:spacing w:after="0"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F">
      <w:pPr>
        <w:numPr>
          <w:ilvl w:val="0"/>
          <w:numId w:val="6"/>
        </w:numPr>
        <w:spacing w:after="0"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Si se cuenta con el apoyo de abogados, se deberá incluir el nombre de estos y su número de cédulas profesionales. </w:t>
      </w:r>
    </w:p>
    <w:p w:rsidR="00000000" w:rsidDel="00000000" w:rsidP="00000000" w:rsidRDefault="00000000" w:rsidRPr="00000000" w14:paraId="00000010">
      <w:pPr>
        <w:spacing w:after="0"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1">
      <w:pPr>
        <w:spacing w:after="0" w:line="279" w:lineRule="auto"/>
        <w:ind w:left="720" w:firstLine="0"/>
        <w:jc w:val="both"/>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En la penúltima página, relativa a las pruebas:</w:t>
      </w:r>
    </w:p>
    <w:p w:rsidR="00000000" w:rsidDel="00000000" w:rsidP="00000000" w:rsidRDefault="00000000" w:rsidRPr="00000000" w14:paraId="00000012">
      <w:pPr>
        <w:spacing w:after="0" w:line="279" w:lineRule="auto"/>
        <w:ind w:left="720" w:firstLine="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13">
      <w:pPr>
        <w:numPr>
          <w:ilvl w:val="0"/>
          <w:numId w:val="6"/>
        </w:numPr>
        <w:spacing w:after="0"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Señalar en el punto ii de este apartado si se cuenta con título de concesión o asignación o cualquier otro documento a través del cual se acredite que se es titular del algún derecho hídrico, y en su caso, agregarlo a la demanda en original o copia certificada.</w:t>
      </w:r>
    </w:p>
    <w:p w:rsidR="00000000" w:rsidDel="00000000" w:rsidP="00000000" w:rsidRDefault="00000000" w:rsidRPr="00000000" w14:paraId="00000014">
      <w:pPr>
        <w:spacing w:after="0"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5">
      <w:pPr>
        <w:numPr>
          <w:ilvl w:val="0"/>
          <w:numId w:val="6"/>
        </w:numPr>
        <w:spacing w:after="0" w:line="279" w:lineRule="auto"/>
        <w:ind w:left="720" w:hanging="360"/>
        <w:jc w:val="both"/>
        <w:rPr>
          <w:rFonts w:ascii="Aptos" w:cs="Aptos" w:eastAsia="Aptos" w:hAnsi="Aptos"/>
          <w:sz w:val="24"/>
          <w:szCs w:val="24"/>
          <w:u w:val="single"/>
        </w:rPr>
      </w:pPr>
      <w:r w:rsidDel="00000000" w:rsidR="00000000" w:rsidRPr="00000000">
        <w:rPr>
          <w:rFonts w:ascii="Aptos" w:cs="Aptos" w:eastAsia="Aptos" w:hAnsi="Aptos"/>
          <w:b w:val="1"/>
          <w:bCs w:val="1"/>
          <w:sz w:val="24"/>
          <w:szCs w:val="24"/>
          <w:u w:val="single"/>
          <w:rtl w:val="0"/>
        </w:rPr>
        <w:t xml:space="preserve">El plazo para la presentación de la demanda vence el 20 de enero de 2026.</w:t>
      </w:r>
      <w:r w:rsidDel="00000000" w:rsidR="00000000" w:rsidRPr="00000000">
        <w:rPr>
          <w:rFonts w:ascii="Aptos" w:cs="Aptos" w:eastAsia="Aptos" w:hAnsi="Aptos"/>
          <w:sz w:val="24"/>
          <w:szCs w:val="24"/>
          <w:u w:val="single"/>
          <w:rtl w:val="0"/>
        </w:rPr>
        <w:t xml:space="preserve"> </w:t>
      </w:r>
    </w:p>
    <w:p w:rsidR="00000000" w:rsidDel="00000000" w:rsidP="00000000" w:rsidRDefault="00000000" w:rsidRPr="00000000" w14:paraId="00000016">
      <w:pPr>
        <w:spacing w:after="0" w:line="279" w:lineRule="auto"/>
        <w:ind w:left="720" w:firstLine="0"/>
        <w:jc w:val="both"/>
        <w:rPr>
          <w:rFonts w:ascii="Aptos" w:cs="Aptos" w:eastAsia="Aptos" w:hAnsi="Aptos"/>
          <w:sz w:val="24"/>
          <w:szCs w:val="24"/>
          <w:u w:val="single"/>
        </w:rPr>
      </w:pPr>
      <w:r w:rsidDel="00000000" w:rsidR="00000000" w:rsidRPr="00000000">
        <w:rPr>
          <w:rtl w:val="0"/>
        </w:rPr>
      </w:r>
    </w:p>
    <w:p w:rsidR="00000000" w:rsidDel="00000000" w:rsidP="00000000" w:rsidRDefault="00000000" w:rsidRPr="00000000" w14:paraId="00000017">
      <w:pPr>
        <w:numPr>
          <w:ilvl w:val="0"/>
          <w:numId w:val="6"/>
        </w:numPr>
        <w:spacing w:after="0"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Las demandas se pueden presentar de 9 a 15 horas de forma física en los siguientes domicilios: </w:t>
      </w:r>
    </w:p>
    <w:p w:rsidR="00000000" w:rsidDel="00000000" w:rsidP="00000000" w:rsidRDefault="00000000" w:rsidRPr="00000000" w14:paraId="00000018">
      <w:pPr>
        <w:spacing w:after="0"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9">
      <w:pPr>
        <w:numPr>
          <w:ilvl w:val="0"/>
          <w:numId w:val="3"/>
        </w:numPr>
        <w:spacing w:after="0" w:line="279" w:lineRule="auto"/>
        <w:ind w:left="1080" w:hanging="360"/>
        <w:jc w:val="both"/>
        <w:rPr>
          <w:rFonts w:ascii="Arial" w:cs="Arial" w:eastAsia="Arial" w:hAnsi="Arial"/>
          <w:sz w:val="24"/>
          <w:szCs w:val="24"/>
        </w:rPr>
      </w:pPr>
      <w:r w:rsidDel="00000000" w:rsidR="00000000" w:rsidRPr="00000000">
        <w:rPr>
          <w:rFonts w:ascii="Aptos" w:cs="Aptos" w:eastAsia="Aptos" w:hAnsi="Aptos"/>
          <w:sz w:val="24"/>
          <w:szCs w:val="24"/>
          <w:rtl w:val="0"/>
        </w:rPr>
        <w:t xml:space="preserve">EDIFICIO SEDE DEL PODER JUDICIAL DE LA FEDERACIÓN</w:t>
        <w:br w:type="textWrapping"/>
        <w:t xml:space="preserve">AV. MIRADOR, NO. 6500, FRACCIONAMIENTO RESIDENCIAL CAMPESTRE WASHINGTON,C.P. 31213, CHIHUAHUA, CHIHUAHUA</w:t>
        <w:br w:type="textWrapping"/>
        <w:t xml:space="preserve">CONMUTADOR: (614) 180 2000. </w:t>
      </w:r>
      <w:r w:rsidDel="00000000" w:rsidR="00000000" w:rsidRPr="00000000">
        <w:rPr>
          <w:rtl w:val="0"/>
        </w:rPr>
      </w:r>
    </w:p>
    <w:p w:rsidR="00000000" w:rsidDel="00000000" w:rsidP="00000000" w:rsidRDefault="00000000" w:rsidRPr="00000000" w14:paraId="0000001A">
      <w:pPr>
        <w:spacing w:after="0" w:line="279" w:lineRule="auto"/>
        <w:ind w:left="108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B">
      <w:pPr>
        <w:numPr>
          <w:ilvl w:val="0"/>
          <w:numId w:val="3"/>
        </w:numPr>
        <w:spacing w:after="0" w:line="279" w:lineRule="auto"/>
        <w:ind w:left="1080" w:hanging="360"/>
        <w:jc w:val="both"/>
        <w:rPr>
          <w:sz w:val="24"/>
          <w:szCs w:val="24"/>
        </w:rPr>
      </w:pPr>
      <w:r w:rsidDel="00000000" w:rsidR="00000000" w:rsidRPr="00000000">
        <w:rPr>
          <w:rFonts w:ascii="Aptos" w:cs="Aptos" w:eastAsia="Aptos" w:hAnsi="Aptos"/>
          <w:sz w:val="24"/>
          <w:szCs w:val="24"/>
          <w:rtl w:val="0"/>
        </w:rPr>
        <w:t xml:space="preserve">EDIFICIO SEDE DEL PODER JUDICIAL DE LA FEDERACION.</w:t>
        <w:br w:type="textWrapping"/>
        <w:t xml:space="preserve">AV. TECNOLOGICO NÚM. 1670, FUENTES DEL VALLE, C.P. 32500, CD. JUÁREZ, CHIHUAHUA</w:t>
        <w:br w:type="textWrapping"/>
        <w:t xml:space="preserve">CONMUTADOR: (656) 227 2600</w:t>
      </w:r>
    </w:p>
    <w:p w:rsidR="00000000" w:rsidDel="00000000" w:rsidP="00000000" w:rsidRDefault="00000000" w:rsidRPr="00000000" w14:paraId="0000001C">
      <w:pPr>
        <w:spacing w:after="0" w:line="279" w:lineRule="auto"/>
        <w:ind w:left="108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D">
      <w:pPr>
        <w:spacing w:after="0" w:line="279" w:lineRule="auto"/>
        <w:ind w:left="1080" w:firstLine="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Escoja la oficialía más cercana a su domicilio. </w:t>
      </w:r>
    </w:p>
    <w:p w:rsidR="00000000" w:rsidDel="00000000" w:rsidP="00000000" w:rsidRDefault="00000000" w:rsidRPr="00000000" w14:paraId="0000001E">
      <w:pPr>
        <w:spacing w:after="0" w:line="279" w:lineRule="auto"/>
        <w:ind w:left="108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F">
      <w:pPr>
        <w:spacing w:after="0" w:line="279" w:lineRule="auto"/>
        <w:ind w:left="1080" w:firstLine="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El último día para la presentación de la demanda se puede acudir a la oficialía de partes común hasta las 23:59 horas. </w:t>
      </w:r>
    </w:p>
    <w:p w:rsidR="00000000" w:rsidDel="00000000" w:rsidP="00000000" w:rsidRDefault="00000000" w:rsidRPr="00000000" w14:paraId="00000020">
      <w:pPr>
        <w:spacing w:after="0" w:line="279" w:lineRule="auto"/>
        <w:ind w:left="108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1">
      <w:pPr>
        <w:numPr>
          <w:ilvl w:val="0"/>
          <w:numId w:val="3"/>
        </w:numPr>
        <w:spacing w:after="0" w:line="279" w:lineRule="auto"/>
        <w:ind w:left="1080" w:hanging="360"/>
        <w:jc w:val="both"/>
        <w:rPr>
          <w:sz w:val="24"/>
          <w:szCs w:val="24"/>
        </w:rPr>
      </w:pPr>
      <w:r w:rsidDel="00000000" w:rsidR="00000000" w:rsidRPr="00000000">
        <w:rPr>
          <w:rFonts w:ascii="Aptos" w:cs="Aptos" w:eastAsia="Aptos" w:hAnsi="Aptos"/>
          <w:sz w:val="24"/>
          <w:szCs w:val="24"/>
          <w:rtl w:val="0"/>
        </w:rPr>
        <w:t xml:space="preserve">En el portal de internet </w:t>
      </w:r>
      <w:hyperlink r:id="rId8">
        <w:r w:rsidDel="00000000" w:rsidR="00000000" w:rsidRPr="00000000">
          <w:rPr>
            <w:rFonts w:ascii="Aptos" w:cs="Aptos" w:eastAsia="Aptos" w:hAnsi="Aptos"/>
            <w:color w:val="467886"/>
            <w:sz w:val="24"/>
            <w:szCs w:val="24"/>
            <w:u w:val="single"/>
            <w:rtl w:val="0"/>
          </w:rPr>
          <w:t xml:space="preserve">https://www.serviciosenlinea.pjf.gob.mx/juicioenlinea</w:t>
        </w:r>
      </w:hyperlink>
      <w:r w:rsidDel="00000000" w:rsidR="00000000" w:rsidRPr="00000000">
        <w:rPr>
          <w:rFonts w:ascii="Aptos" w:cs="Aptos" w:eastAsia="Aptos" w:hAnsi="Aptos"/>
          <w:sz w:val="24"/>
          <w:szCs w:val="24"/>
          <w:rtl w:val="0"/>
        </w:rPr>
        <w:t xml:space="preserve"> Se sugiere contar con la asesoría de un abogado que cuente con clave FIREL o CURP registrada para presentar demandas en línea. En este caso, la demanda firmada y los documentos que se acompañen a la misma deberán ir digitalizados. </w:t>
      </w:r>
    </w:p>
    <w:p w:rsidR="00000000" w:rsidDel="00000000" w:rsidP="00000000" w:rsidRDefault="00000000" w:rsidRPr="00000000" w14:paraId="00000022">
      <w:pPr>
        <w:spacing w:after="0"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3">
      <w:pPr>
        <w:numPr>
          <w:ilvl w:val="0"/>
          <w:numId w:val="6"/>
        </w:numPr>
        <w:spacing w:after="0"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Se podrá solicitar la devolución de aquellos documentos que se ofrezcan en original o copia certificada, una vez que sean solicitados y cotejados por el secretario de acuerdos. </w:t>
      </w:r>
    </w:p>
    <w:p w:rsidR="00000000" w:rsidDel="00000000" w:rsidP="00000000" w:rsidRDefault="00000000" w:rsidRPr="00000000" w14:paraId="00000024">
      <w:pPr>
        <w:spacing w:after="0"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5">
      <w:pPr>
        <w:numPr>
          <w:ilvl w:val="0"/>
          <w:numId w:val="6"/>
        </w:numPr>
        <w:spacing w:after="0"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En el caso de que se presente la demanda de forma escrita, se deberán agregar 8 copias simples de la misma, las cuales no requieren ir firmadas. </w:t>
      </w:r>
    </w:p>
    <w:p w:rsidR="00000000" w:rsidDel="00000000" w:rsidP="00000000" w:rsidRDefault="00000000" w:rsidRPr="00000000" w14:paraId="00000026">
      <w:pPr>
        <w:spacing w:after="0"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7">
      <w:pPr>
        <w:numPr>
          <w:ilvl w:val="0"/>
          <w:numId w:val="1"/>
        </w:numPr>
        <w:spacing w:after="0"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Una para el acuse de recibo.</w:t>
      </w:r>
    </w:p>
    <w:p w:rsidR="00000000" w:rsidDel="00000000" w:rsidP="00000000" w:rsidRDefault="00000000" w:rsidRPr="00000000" w14:paraId="00000028">
      <w:pPr>
        <w:numPr>
          <w:ilvl w:val="0"/>
          <w:numId w:val="1"/>
        </w:numPr>
        <w:spacing w:after="0"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Una por cada autoridad demandada, es decir, 3. </w:t>
      </w:r>
    </w:p>
    <w:p w:rsidR="00000000" w:rsidDel="00000000" w:rsidP="00000000" w:rsidRDefault="00000000" w:rsidRPr="00000000" w14:paraId="00000029">
      <w:pPr>
        <w:numPr>
          <w:ilvl w:val="0"/>
          <w:numId w:val="1"/>
        </w:numPr>
        <w:spacing w:after="0"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Una para el Ministerio Público. </w:t>
      </w:r>
    </w:p>
    <w:p w:rsidR="00000000" w:rsidDel="00000000" w:rsidP="00000000" w:rsidRDefault="00000000" w:rsidRPr="00000000" w14:paraId="0000002A">
      <w:pPr>
        <w:numPr>
          <w:ilvl w:val="0"/>
          <w:numId w:val="1"/>
        </w:numPr>
        <w:spacing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Tres sobrantes para traslado. </w:t>
      </w:r>
    </w:p>
    <w:p w:rsidR="00000000" w:rsidDel="00000000" w:rsidP="00000000" w:rsidRDefault="00000000" w:rsidRPr="00000000" w14:paraId="0000002B">
      <w:pPr>
        <w:spacing w:line="279"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C">
      <w:pPr>
        <w:numPr>
          <w:ilvl w:val="0"/>
          <w:numId w:val="6"/>
        </w:numPr>
        <w:spacing w:after="0"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En caso de requerir de asesoría, y por tratarse de comunidades indígenas, también se puede acudir al Instituto Federal de Defensoría Pública ubicado en el mismo domicilio de las oficialías de partes comunes. </w:t>
      </w:r>
    </w:p>
    <w:p w:rsidR="00000000" w:rsidDel="00000000" w:rsidP="00000000" w:rsidRDefault="00000000" w:rsidRPr="00000000" w14:paraId="0000002D">
      <w:pPr>
        <w:spacing w:after="0"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E">
      <w:pPr>
        <w:numPr>
          <w:ilvl w:val="0"/>
          <w:numId w:val="6"/>
        </w:numPr>
        <w:spacing w:after="0" w:line="279" w:lineRule="auto"/>
        <w:ind w:left="720" w:hanging="360"/>
        <w:jc w:val="both"/>
        <w:rPr>
          <w:rFonts w:ascii="Aptos" w:cs="Aptos" w:eastAsia="Aptos" w:hAnsi="Aptos"/>
          <w:b w:val="1"/>
          <w:bCs w:val="1"/>
          <w:sz w:val="24"/>
          <w:szCs w:val="24"/>
          <w:u w:val="single"/>
        </w:rPr>
      </w:pPr>
      <w:r w:rsidDel="00000000" w:rsidR="00000000" w:rsidRPr="00000000">
        <w:rPr>
          <w:rFonts w:ascii="Aptos" w:cs="Aptos" w:eastAsia="Aptos" w:hAnsi="Aptos"/>
          <w:b w:val="1"/>
          <w:bCs w:val="1"/>
          <w:sz w:val="24"/>
          <w:szCs w:val="24"/>
          <w:u w:val="single"/>
          <w:rtl w:val="0"/>
        </w:rPr>
        <w:t xml:space="preserve">No olvide firmar la demanda en la última página con tinta azul. </w:t>
      </w:r>
    </w:p>
    <w:p w:rsidR="00000000" w:rsidDel="00000000" w:rsidP="00000000" w:rsidRDefault="00000000" w:rsidRPr="00000000" w14:paraId="0000002F">
      <w:pPr>
        <w:spacing w:after="0"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0">
      <w:pPr>
        <w:numPr>
          <w:ilvl w:val="0"/>
          <w:numId w:val="6"/>
        </w:numPr>
        <w:spacing w:after="0"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Una vez presentada la demanda, revise el número de expediente, el juzgado y secretaría a que fue turnada.</w:t>
      </w:r>
    </w:p>
    <w:p w:rsidR="00000000" w:rsidDel="00000000" w:rsidP="00000000" w:rsidRDefault="00000000" w:rsidRPr="00000000" w14:paraId="00000031">
      <w:pPr>
        <w:spacing w:after="0"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2">
      <w:pPr>
        <w:numPr>
          <w:ilvl w:val="0"/>
          <w:numId w:val="6"/>
        </w:numPr>
        <w:spacing w:after="0"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A cada promoción que usted presente deberá recaer un acuerdo, por lo que debe estar atento a cualquier notificación que reciba. </w:t>
      </w:r>
    </w:p>
    <w:p w:rsidR="00000000" w:rsidDel="00000000" w:rsidP="00000000" w:rsidRDefault="00000000" w:rsidRPr="00000000" w14:paraId="00000033">
      <w:pPr>
        <w:spacing w:after="0"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4">
      <w:pPr>
        <w:numPr>
          <w:ilvl w:val="0"/>
          <w:numId w:val="6"/>
        </w:numPr>
        <w:spacing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El personal adscrito a juzgados está para servirle. Cualquier queja en su contra deberá presentarla ante el Tribunal de Disciplina Judicial. </w:t>
      </w:r>
      <w:hyperlink r:id="rId9">
        <w:r w:rsidDel="00000000" w:rsidR="00000000" w:rsidRPr="00000000">
          <w:rPr>
            <w:rFonts w:ascii="Aptos" w:cs="Aptos" w:eastAsia="Aptos" w:hAnsi="Aptos"/>
            <w:color w:val="467886"/>
            <w:sz w:val="24"/>
            <w:szCs w:val="24"/>
            <w:u w:val="single"/>
            <w:rtl w:val="0"/>
          </w:rPr>
          <w:t xml:space="preserve">https://www.tdj.gob.mx</w:t>
        </w:r>
      </w:hyperlink>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35">
      <w:pPr>
        <w:spacing w:after="160" w:before="0" w:line="240" w:lineRule="auto"/>
        <w:ind w:left="4248" w:hanging="136.9999999999999"/>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6">
      <w:pPr>
        <w:spacing w:after="160" w:before="0" w:line="240" w:lineRule="auto"/>
        <w:ind w:left="4248" w:hanging="136.9999999999999"/>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7">
      <w:pPr>
        <w:spacing w:after="160" w:before="0" w:line="240" w:lineRule="auto"/>
        <w:ind w:left="4248" w:hanging="136.9999999999999"/>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8">
      <w:pPr>
        <w:spacing w:after="160" w:before="0" w:line="240" w:lineRule="auto"/>
        <w:ind w:left="4248" w:hanging="136.9999999999999"/>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9">
      <w:pPr>
        <w:spacing w:after="160" w:before="0" w:line="240" w:lineRule="auto"/>
        <w:ind w:left="4248" w:hanging="136.9999999999999"/>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A">
      <w:pPr>
        <w:spacing w:after="160" w:before="0" w:line="240" w:lineRule="auto"/>
        <w:ind w:left="4248" w:hanging="136.9999999999999"/>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B">
      <w:pPr>
        <w:spacing w:after="160" w:before="0" w:line="240" w:lineRule="auto"/>
        <w:ind w:left="4248" w:hanging="136.9999999999999"/>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C">
      <w:pPr>
        <w:spacing w:after="160" w:before="0" w:line="240" w:lineRule="auto"/>
        <w:ind w:left="4248" w:hanging="136.9999999999999"/>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D">
      <w:pPr>
        <w:spacing w:after="160" w:before="0" w:line="240" w:lineRule="auto"/>
        <w:ind w:left="4248" w:hanging="136.9999999999999"/>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E">
      <w:pPr>
        <w:spacing w:after="160" w:before="0" w:line="240" w:lineRule="auto"/>
        <w:ind w:left="4248" w:hanging="136.9999999999999"/>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F">
      <w:pPr>
        <w:spacing w:after="160" w:before="0" w:line="240" w:lineRule="auto"/>
        <w:ind w:left="4248" w:hanging="136.9999999999999"/>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0">
      <w:pPr>
        <w:spacing w:after="160" w:before="0" w:line="240" w:lineRule="auto"/>
        <w:ind w:left="4248" w:hanging="136.9999999999999"/>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1">
      <w:pPr>
        <w:spacing w:after="160" w:before="0" w:line="240" w:lineRule="auto"/>
        <w:ind w:left="4248" w:hanging="136.9999999999999"/>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2">
      <w:pPr>
        <w:spacing w:after="160" w:before="0" w:line="240" w:lineRule="auto"/>
        <w:ind w:left="4248" w:hanging="136.9999999999999"/>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3">
      <w:pPr>
        <w:spacing w:after="160" w:before="0" w:line="240" w:lineRule="auto"/>
        <w:ind w:left="4248" w:hanging="136.9999999999999"/>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4">
      <w:pPr>
        <w:spacing w:after="160" w:before="0" w:line="240" w:lineRule="auto"/>
        <w:ind w:left="4248" w:hanging="136.9999999999999"/>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5">
      <w:pPr>
        <w:spacing w:after="160" w:before="0" w:line="240" w:lineRule="auto"/>
        <w:ind w:left="4248" w:hanging="136.9999999999999"/>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6">
      <w:pPr>
        <w:spacing w:after="160" w:before="0" w:line="240" w:lineRule="auto"/>
        <w:ind w:left="4248" w:hanging="136.9999999999999"/>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7">
      <w:pPr>
        <w:spacing w:after="160" w:before="0" w:line="240" w:lineRule="auto"/>
        <w:ind w:left="4248" w:hanging="136.9999999999999"/>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8">
      <w:pPr>
        <w:spacing w:after="160" w:before="0" w:line="240" w:lineRule="auto"/>
        <w:ind w:left="4248" w:hanging="136.9999999999999"/>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9">
      <w:pPr>
        <w:spacing w:after="160" w:before="0" w:line="240" w:lineRule="auto"/>
        <w:ind w:left="4248" w:hanging="136.9999999999999"/>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A">
      <w:pPr>
        <w:spacing w:after="160" w:before="0" w:line="240" w:lineRule="auto"/>
        <w:ind w:left="4248" w:hanging="136.9999999999999"/>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B">
      <w:pPr>
        <w:spacing w:after="160" w:before="0" w:line="240" w:lineRule="auto"/>
        <w:ind w:left="4248" w:hanging="136.9999999999999"/>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4C">
      <w:pPr>
        <w:spacing w:after="160" w:before="0" w:line="240" w:lineRule="auto"/>
        <w:ind w:left="4248" w:hanging="136.9999999999999"/>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QUEJOSO: </w:t>
      </w:r>
      <w:r w:rsidDel="00000000" w:rsidR="00000000" w:rsidRPr="00000000">
        <w:rPr>
          <w:rtl w:val="0"/>
        </w:rPr>
      </w:r>
    </w:p>
    <w:p w:rsidR="00000000" w:rsidDel="00000000" w:rsidP="00000000" w:rsidRDefault="00000000" w:rsidRPr="00000000" w14:paraId="0000004D">
      <w:pPr>
        <w:spacing w:line="240" w:lineRule="auto"/>
        <w:ind w:left="4111"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ASUNTO:</w:t>
      </w:r>
      <w:r w:rsidDel="00000000" w:rsidR="00000000" w:rsidRPr="00000000">
        <w:rPr>
          <w:rFonts w:ascii="Arial" w:cs="Arial" w:eastAsia="Arial" w:hAnsi="Arial"/>
          <w:sz w:val="24"/>
          <w:szCs w:val="24"/>
          <w:rtl w:val="0"/>
        </w:rPr>
        <w:t xml:space="preserve"> SE INTERPONE DEMANDA DE AMPARO INDIRECTO</w:t>
      </w:r>
    </w:p>
    <w:p w:rsidR="00000000" w:rsidDel="00000000" w:rsidP="00000000" w:rsidRDefault="00000000" w:rsidRPr="00000000" w14:paraId="0000004E">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spacing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 JUEZ DE DISTRITO EN EL ESTADO </w:t>
      </w:r>
    </w:p>
    <w:p w:rsidR="00000000" w:rsidDel="00000000" w:rsidP="00000000" w:rsidRDefault="00000000" w:rsidRPr="00000000" w14:paraId="00000050">
      <w:pPr>
        <w:spacing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 CHIHUAHUA EN TURNO</w:t>
      </w:r>
    </w:p>
    <w:p w:rsidR="00000000" w:rsidDel="00000000" w:rsidP="00000000" w:rsidRDefault="00000000" w:rsidRPr="00000000" w14:paraId="00000051">
      <w:pPr>
        <w:spacing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 R E S E N T E</w:t>
      </w:r>
    </w:p>
    <w:p w:rsidR="00000000" w:rsidDel="00000000" w:rsidP="00000000" w:rsidRDefault="00000000" w:rsidRPr="00000000" w14:paraId="00000052">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spacing w:after="210" w:before="210" w:line="360" w:lineRule="auto"/>
        <w:jc w:val="both"/>
        <w:rPr>
          <w:rFonts w:ascii="Arial" w:cs="Arial" w:eastAsia="Arial" w:hAnsi="Arial"/>
          <w:b w:val="0"/>
          <w:bCs w:val="0"/>
          <w:i w:val="0"/>
          <w:iCs w:val="0"/>
          <w:color w:val="000000"/>
          <w:sz w:val="24"/>
          <w:szCs w:val="24"/>
        </w:rPr>
      </w:pPr>
      <w:r w:rsidDel="00000000" w:rsidR="00000000" w:rsidRPr="00000000">
        <w:rPr>
          <w:rFonts w:ascii="Arial" w:cs="Arial" w:eastAsia="Arial" w:hAnsi="Arial"/>
          <w:b w:val="0"/>
          <w:bCs w:val="0"/>
          <w:i w:val="0"/>
          <w:iCs w:val="0"/>
          <w:color w:val="000000"/>
          <w:sz w:val="24"/>
          <w:szCs w:val="24"/>
          <w:rtl w:val="0"/>
        </w:rPr>
        <w:t xml:space="preserve">El suscrito, en mi carácter de </w:t>
      </w:r>
      <w:r w:rsidDel="00000000" w:rsidR="00000000" w:rsidRPr="00000000">
        <w:rPr>
          <w:rFonts w:ascii="Arial" w:cs="Arial" w:eastAsia="Arial" w:hAnsi="Arial"/>
          <w:b w:val="1"/>
          <w:bCs w:val="1"/>
          <w:i w:val="0"/>
          <w:iCs w:val="0"/>
          <w:color w:val="000000"/>
          <w:sz w:val="24"/>
          <w:szCs w:val="24"/>
          <w:rtl w:val="0"/>
        </w:rPr>
        <w:t xml:space="preserve">__________________________</w:t>
      </w:r>
      <w:r w:rsidDel="00000000" w:rsidR="00000000" w:rsidRPr="00000000">
        <w:rPr>
          <w:rFonts w:ascii="Arial" w:cs="Arial" w:eastAsia="Arial" w:hAnsi="Arial"/>
          <w:b w:val="0"/>
          <w:bCs w:val="0"/>
          <w:i w:val="0"/>
          <w:iCs w:val="0"/>
          <w:color w:val="000000"/>
          <w:sz w:val="24"/>
          <w:szCs w:val="24"/>
          <w:rtl w:val="0"/>
        </w:rPr>
        <w:t xml:space="preserve"> de la Comunidad Indígena _________________________________________________________________, personalidad que acredito con el acta de acta de asamblea de fecha </w:t>
      </w:r>
      <w:r w:rsidDel="00000000" w:rsidR="00000000" w:rsidRPr="00000000">
        <w:rPr>
          <w:rFonts w:ascii="Arial" w:cs="Arial" w:eastAsia="Arial" w:hAnsi="Arial"/>
          <w:b w:val="1"/>
          <w:bCs w:val="1"/>
          <w:i w:val="0"/>
          <w:iCs w:val="0"/>
          <w:color w:val="000000"/>
          <w:sz w:val="24"/>
          <w:szCs w:val="24"/>
          <w:rtl w:val="0"/>
        </w:rPr>
        <w:t xml:space="preserve">_________________________________</w:t>
      </w:r>
      <w:r w:rsidDel="00000000" w:rsidR="00000000" w:rsidRPr="00000000">
        <w:rPr>
          <w:rFonts w:ascii="Arial" w:cs="Arial" w:eastAsia="Arial" w:hAnsi="Arial"/>
          <w:b w:val="0"/>
          <w:bCs w:val="0"/>
          <w:i w:val="0"/>
          <w:iCs w:val="0"/>
          <w:color w:val="000000"/>
          <w:sz w:val="24"/>
          <w:szCs w:val="24"/>
          <w:rtl w:val="0"/>
        </w:rPr>
        <w:t xml:space="preserve">, la cual se exhibe en original para su cotejo y posterior devolución, señalando como domicilio para oír y recibir todo tipo de notificaciones el ubicado en ____________________________________________________________________________________________________ y autorizando de conformidad con el artículo 12 de la Ley de Amparo a los CC. Licenciados en Derecho ___________________________________________________________________________________________________________________________________________________________________________________, con números de cédulas profesionales __________________________________________________________________________ ante Usted, con el debido respeto, comparezco y expongo:</w:t>
      </w:r>
    </w:p>
    <w:p w:rsidR="00000000" w:rsidDel="00000000" w:rsidP="00000000" w:rsidRDefault="00000000" w:rsidRPr="00000000" w14:paraId="00000054">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con fundamento en los artículos 103, fracción I y 107 de la Constitución Política de los Estados Unidos Mexicanos, 1º fracción III, 5º fracción II, 77 fracción II y 107 fracción II de la Ley de Amparo, comparezco ante su Señoría a solicitar la protección de la Justicia Federal por medio del presente demanda de </w:t>
      </w:r>
    </w:p>
    <w:p w:rsidR="00000000" w:rsidDel="00000000" w:rsidP="00000000" w:rsidRDefault="00000000" w:rsidRPr="00000000" w14:paraId="00000056">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spacing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 M P A R O    I N D I R E C T O</w:t>
      </w:r>
    </w:p>
    <w:p w:rsidR="00000000" w:rsidDel="00000000" w:rsidP="00000000" w:rsidRDefault="00000000" w:rsidRPr="00000000" w14:paraId="00000058">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cumplimiento de los requisitos de procedibilidad establecidos por el artículo 108 de la Ley de Amparo manifiesto lo siguiente: </w:t>
      </w:r>
    </w:p>
    <w:p w:rsidR="00000000" w:rsidDel="00000000" w:rsidP="00000000" w:rsidRDefault="00000000" w:rsidRPr="00000000" w14:paraId="0000005A">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NOMBRE Y DOMICILIO DE LA QUEJOSA.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Ya han quedado precisados en el proemio del presente escrito.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NOMBRE Y DOMICILIO DEL TERCERO INTERESADO.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 existe.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AUTORIDADES RESPONSABLES Y DOMICILIO.</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mvm5vygzak8u" w:id="0"/>
      <w:bookmarkEnd w:id="0"/>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 Presidenta Constitucional de los Estados Unidos Mexicanos,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 domicilio en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Plaza de la Constitución sin número, Colonia Centro, Código Postal 06066, Ciudad de México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 Cámara de Diputados.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Av. Congreso de la Unión N° 66 Col. El Parque Alcaldía Venustiano Carranza. C.P. 15960, Ciudad de México.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 Senado de la República.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Av. Paseo de la Reforma 135, esq. Insurgentes Centro, Colonia Tabacalera, Alcaldía Cuauhtémoc, Ciudad de México. C.P. 06030</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ACTOS RECLAMADOS: </w:t>
      </w:r>
    </w:p>
    <w:p w:rsidR="00000000" w:rsidDel="00000000" w:rsidP="00000000" w:rsidRDefault="00000000" w:rsidRPr="00000000" w14:paraId="00000069">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De la Cámara de Diputados y del Senado de la República se reclama la aprobación del Decreto de fecha 9 de diciembre de 2025, publicado en el Diario Oficial de la Federación el 11 de ese mismo mes y año, por el que se e</w:t>
      </w:r>
      <w:r w:rsidDel="00000000" w:rsidR="00000000" w:rsidRPr="00000000">
        <w:rPr>
          <w:rFonts w:ascii="Arial" w:cs="Arial" w:eastAsia="Arial" w:hAnsi="Arial"/>
          <w:b w:val="0"/>
          <w:bCs w:val="0"/>
          <w:i w:val="0"/>
          <w:iCs w:val="0"/>
          <w:smallCaps w:val="0"/>
          <w:color w:val="000000"/>
          <w:sz w:val="24"/>
          <w:szCs w:val="24"/>
          <w:rtl w:val="0"/>
        </w:rPr>
        <w:t xml:space="preserve">xpide la Ley General de Aguas y se reforman, adicionan y derogan diversas disposiciones de la Ley de Aguas Nacionales, concretamente en lo relativo a:</w:t>
      </w:r>
      <w:r w:rsidDel="00000000" w:rsidR="00000000" w:rsidRPr="00000000">
        <w:rPr>
          <w:rtl w:val="0"/>
        </w:rPr>
      </w:r>
    </w:p>
    <w:p w:rsidR="00000000" w:rsidDel="00000000" w:rsidP="00000000" w:rsidRDefault="00000000" w:rsidRPr="00000000" w14:paraId="0000006A">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b w:val="0"/>
          <w:bCs w:val="0"/>
          <w:i w:val="0"/>
          <w:iCs w:val="0"/>
          <w:smallCaps w:val="0"/>
          <w:color w:val="000000"/>
          <w:sz w:val="24"/>
          <w:szCs w:val="24"/>
          <w:rtl w:val="0"/>
        </w:rPr>
        <w:t xml:space="preserve">ii) Los artículos 40 a 43 de la Ley General de Aguas, toda vez que previo a su aprobación no se agotó la consulta a favor de las comunidades y pueblos indígenas y afrodescendientes, prevista en los artículos 2o fracción XIII de la Constitución de la República y </w:t>
      </w:r>
      <w:r w:rsidDel="00000000" w:rsidR="00000000" w:rsidRPr="00000000">
        <w:rPr>
          <w:rFonts w:ascii="Arial" w:cs="Arial" w:eastAsia="Arial" w:hAnsi="Arial"/>
          <w:sz w:val="24"/>
          <w:szCs w:val="24"/>
          <w:rtl w:val="0"/>
        </w:rPr>
        <w:t xml:space="preserve">6o del Convenio 169 sobre Pueblos Indígenas y Tribales en Países Independientes, en lo futuro el Convenio 169, previa a la aprobación del decreto, y</w:t>
      </w:r>
    </w:p>
    <w:p w:rsidR="00000000" w:rsidDel="00000000" w:rsidP="00000000" w:rsidRDefault="00000000" w:rsidRPr="00000000" w14:paraId="0000006B">
      <w:pPr>
        <w:spacing w:after="160" w:before="0" w:line="360" w:lineRule="auto"/>
        <w:ind w:left="0" w:right="0" w:firstLine="0"/>
        <w:jc w:val="both"/>
        <w:rPr>
          <w:rFonts w:ascii="Arial" w:cs="Arial" w:eastAsia="Arial" w:hAnsi="Arial"/>
          <w:b w:val="0"/>
          <w:bCs w:val="0"/>
          <w:i w:val="0"/>
          <w:iCs w:val="0"/>
          <w:smallCaps w:val="0"/>
          <w:color w:val="000000"/>
          <w:sz w:val="24"/>
          <w:szCs w:val="24"/>
        </w:rPr>
      </w:pPr>
      <w:r w:rsidDel="00000000" w:rsidR="00000000" w:rsidRPr="00000000">
        <w:rPr>
          <w:rFonts w:ascii="Arial" w:cs="Arial" w:eastAsia="Arial" w:hAnsi="Arial"/>
          <w:b w:val="0"/>
          <w:bCs w:val="0"/>
          <w:i w:val="0"/>
          <w:iCs w:val="0"/>
          <w:smallCaps w:val="0"/>
          <w:color w:val="000000"/>
          <w:sz w:val="24"/>
          <w:szCs w:val="24"/>
          <w:rtl w:val="0"/>
        </w:rPr>
        <w:t xml:space="preserve">ii) El artículo 43 de la Ley General de Aguas en tanto remite a una ley inexistente, lo que constituye una omisión legislativa por parte del Congreso de la Unión.</w:t>
      </w:r>
    </w:p>
    <w:p w:rsidR="00000000" w:rsidDel="00000000" w:rsidP="00000000" w:rsidRDefault="00000000" w:rsidRPr="00000000" w14:paraId="0000006C">
      <w:pPr>
        <w:spacing w:line="360" w:lineRule="auto"/>
        <w:jc w:val="both"/>
        <w:rPr>
          <w:rFonts w:ascii="Arial" w:cs="Arial" w:eastAsia="Arial" w:hAnsi="Arial"/>
          <w:b w:val="0"/>
          <w:bCs w:val="0"/>
          <w:i w:val="0"/>
          <w:iCs w:val="0"/>
          <w:smallCaps w:val="0"/>
          <w:color w:val="000000"/>
          <w:sz w:val="24"/>
          <w:szCs w:val="24"/>
        </w:rPr>
      </w:pPr>
      <w:r w:rsidDel="00000000" w:rsidR="00000000" w:rsidRPr="00000000">
        <w:rPr>
          <w:rFonts w:ascii="Arial" w:cs="Arial" w:eastAsia="Arial" w:hAnsi="Arial"/>
          <w:b w:val="0"/>
          <w:bCs w:val="0"/>
          <w:i w:val="0"/>
          <w:iCs w:val="0"/>
          <w:smallCaps w:val="0"/>
          <w:color w:val="000000"/>
          <w:sz w:val="24"/>
          <w:szCs w:val="24"/>
          <w:rtl w:val="0"/>
        </w:rPr>
        <w:t xml:space="preserve">2. De la Presidenta Constitucional de los Estados Unidos Mexicanos se reclama la promulgación del Decreto en comento. </w:t>
      </w:r>
    </w:p>
    <w:p w:rsidR="00000000" w:rsidDel="00000000" w:rsidP="00000000" w:rsidRDefault="00000000" w:rsidRPr="00000000" w14:paraId="0000006D">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1134" w:right="0" w:hanging="72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OPORTUNIDAD DE LA DEMANDA</w:t>
      </w:r>
    </w:p>
    <w:p w:rsidR="00000000" w:rsidDel="00000000" w:rsidP="00000000" w:rsidRDefault="00000000" w:rsidRPr="00000000" w14:paraId="0000006F">
      <w:pPr>
        <w:spacing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Tal como se mencionó en el apartado precedente, la publicación del decreto reclamado tuvo verificativo el día 11 de diciembre de 2025, por lo que el presente ocurso debe considerarse como presentado en tiempo, de conformidad con lo previsto en el artículo 17 fracción I de la Ley de Amparo, el cual establece que el plazo para presentar la demanda será de quince días, salvo cuando se reclame una norma general autoaplicativa, en que será de treinta días y es el caso que no ha transcurrido dicho plazo. </w:t>
      </w:r>
    </w:p>
    <w:p w:rsidR="00000000" w:rsidDel="00000000" w:rsidP="00000000" w:rsidRDefault="00000000" w:rsidRPr="00000000" w14:paraId="00000070">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1134"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HECHOS </w:t>
      </w:r>
      <w:r w:rsidDel="00000000" w:rsidR="00000000" w:rsidRPr="00000000">
        <w:rPr>
          <w:rtl w:val="0"/>
        </w:rPr>
      </w:r>
    </w:p>
    <w:p w:rsidR="00000000" w:rsidDel="00000000" w:rsidP="00000000" w:rsidRDefault="00000000" w:rsidRPr="00000000" w14:paraId="00000072">
      <w:pPr>
        <w:spacing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Bajo protesta de decir verdad, manifestamos que nos constan los siguientes hechos que constituyen los antecedentes del acto reclamado y que sirven de fundamento a los conceptos de violación: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1º</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Con fecha 9 de octubre de 2025, la titular del Poder Ejecutivo Federal presentó ante la Cámara de Diputados una iniciativa con proyecto de Decreto por el que se expide la Ley General de Aguas y se reforman, adicionan y derogan diversas disposiciones de la Ley de Aguas Nacionales.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14 de octubre de 2025 la presidencia de la Mesa Directiva de la Cámara de Diputados dio cuenta al Pleno de dicha iniciativa y dictó su trámite y turno, para su dictamen, a la Comisión de Recursos Hidráulicos, Agua y Saneamiento y para su opinión a las Comisiones de Presupuesto y Cuenta Pública, de Desarrollo y Conservación Rural, Agrícola y de Autosuficiencia Alimentaria, y de Ganadería.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Con fecha 3 de diciembre de 2025 la Comisión de Recursos Hidráulicos, Agua Potable y Saneamiento convocó a su Décima Reunión Ordinaria, en cuyo orden del día se incluyó la lectura, discusión y en su caso aprobación del dictamen a la iniciativa con proyecto de decreto por el que se expide la Ley General de Aguas, y se reforman, derogan y adicionan diversas disposiciones de la Ley de Aguas Nacionales.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Durante dicha reunión fue aprobado el dictamen referido en el párrafo precedente.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El dictamen de mérito fue aprobado por mayoría por el Pleno de la Cámara de Diputados el 4 de diciembre de 2025, siendo remitido al Senado de la República con esa misma fecha para efectos de lo dispuesto por el artículo 72 constitucional.</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Con fecha 4 de diciembre de 2025 fue aprobada por el Senado una minuta enviada por la Cámara de Diputados, la que contiene el Decreto p</w:t>
      </w:r>
      <w:hyperlink r:id="rId1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 el que se expide la Ley General de Aguas y, se reforman, adicionan y derogan diversas disposiciones de la Ley de Aguas Nacionales.</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6o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El 9 de diciembre de 2025, en cumplimiento de lo dispuesto por la fracción I del artículo 89 de la Constitución Política de los Estados Unidos Mexicanos, y para su debida publicación y observancia, la Presidenta Constitucional de los Estados Unidos Mexicanos emitió el Decreto p</w:t>
      </w:r>
      <w:hyperlink r:id="rId1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 el que se expide la Ley General de Aguas y, se reforman, adicionan y derogan diversas disposiciones de la Ley de Aguas Nacionales</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 la Residencia del Poder Ejecutivo Federal, en la Ciudad de México.</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Arial" w:cs="Arial" w:eastAsia="Arial" w:hAnsi="Arial"/>
          <w:b w:val="0"/>
          <w:bCs w:val="0"/>
          <w:i w:val="0"/>
          <w:iCs w:val="0"/>
          <w:smallCaps w:val="0"/>
          <w:strike w:val="0"/>
          <w:color w:val="2f2f2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7o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El 11 de diciembre de 2025 fue publicado en el Diario Oficial de la Federación el Decreto p</w:t>
      </w:r>
      <w:hyperlink r:id="rId12">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 el que se expide la Ley General de Aguas y, se reforman, adicionan y derogan diversas disposiciones de la Ley de Aguas Nacionales.</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spacing w:line="360" w:lineRule="auto"/>
        <w:jc w:val="both"/>
        <w:rPr>
          <w:rFonts w:ascii="Arial" w:cs="Arial" w:eastAsia="Arial" w:hAnsi="Arial"/>
          <w:b w:val="0"/>
          <w:bCs w:val="0"/>
          <w:i w:val="0"/>
          <w:iCs w:val="0"/>
          <w:smallCaps w:val="0"/>
          <w:color w:val="000000"/>
          <w:sz w:val="24"/>
          <w:szCs w:val="24"/>
        </w:rPr>
      </w:pPr>
      <w:r w:rsidDel="00000000" w:rsidR="00000000" w:rsidRPr="00000000">
        <w:rPr>
          <w:rFonts w:ascii="Arial" w:cs="Arial" w:eastAsia="Arial" w:hAnsi="Arial"/>
          <w:b w:val="1"/>
          <w:bCs w:val="1"/>
          <w:sz w:val="24"/>
          <w:szCs w:val="24"/>
          <w:rtl w:val="0"/>
        </w:rPr>
        <w:t xml:space="preserve">8o </w:t>
      </w:r>
      <w:r w:rsidDel="00000000" w:rsidR="00000000" w:rsidRPr="00000000">
        <w:rPr>
          <w:rFonts w:ascii="Arial" w:cs="Arial" w:eastAsia="Arial" w:hAnsi="Arial"/>
          <w:b w:val="0"/>
          <w:bCs w:val="0"/>
          <w:sz w:val="24"/>
          <w:szCs w:val="24"/>
          <w:rtl w:val="0"/>
        </w:rPr>
        <w:t xml:space="preserve">De la lectura del artículo 43 de la Ley General de Aguas se desprende que “</w:t>
      </w:r>
      <w:r w:rsidDel="00000000" w:rsidR="00000000" w:rsidRPr="00000000">
        <w:rPr>
          <w:rFonts w:ascii="Arial" w:cs="Arial" w:eastAsia="Arial" w:hAnsi="Arial"/>
          <w:b w:val="0"/>
          <w:bCs w:val="0"/>
          <w:i w:val="1"/>
          <w:iCs w:val="1"/>
          <w:sz w:val="24"/>
          <w:szCs w:val="24"/>
          <w:rtl w:val="0"/>
        </w:rPr>
        <w:t xml:space="preserve">los </w:t>
      </w:r>
      <w:r w:rsidDel="00000000" w:rsidR="00000000" w:rsidRPr="00000000">
        <w:rPr>
          <w:rFonts w:ascii="Arial" w:cs="Arial" w:eastAsia="Arial" w:hAnsi="Arial"/>
          <w:b w:val="0"/>
          <w:bCs w:val="0"/>
          <w:i w:val="1"/>
          <w:iCs w:val="1"/>
          <w:smallCaps w:val="0"/>
          <w:color w:val="000000"/>
          <w:sz w:val="24"/>
          <w:szCs w:val="24"/>
          <w:rtl w:val="0"/>
        </w:rPr>
        <w:t xml:space="preserve">sistemas comunitarios de agua y saneamiento, y los servicios de agua para actividades productivas, administrados por los pueblos y comunidades indígenas y afromexicanas, serán regulados por la ley general reglamentaria del artículo 2o. de la Constitución Política de los Estados Unidos Mexicanos</w:t>
      </w:r>
      <w:r w:rsidDel="00000000" w:rsidR="00000000" w:rsidRPr="00000000">
        <w:rPr>
          <w:rFonts w:ascii="Arial" w:cs="Arial" w:eastAsia="Arial" w:hAnsi="Arial"/>
          <w:b w:val="0"/>
          <w:bCs w:val="0"/>
          <w:i w:val="0"/>
          <w:iCs w:val="0"/>
          <w:smallCaps w:val="0"/>
          <w:color w:val="000000"/>
          <w:sz w:val="24"/>
          <w:szCs w:val="24"/>
          <w:rtl w:val="0"/>
        </w:rPr>
        <w:t xml:space="preserve">”, siendo el caso que tal ordenamiento no existe, por lo que la administración a que se hace referencia carece de sustento jurídico para hacerla efectiva en la práctica. </w:t>
      </w:r>
    </w:p>
    <w:p w:rsidR="00000000" w:rsidDel="00000000" w:rsidP="00000000" w:rsidRDefault="00000000" w:rsidRPr="00000000" w14:paraId="00000084">
      <w:pPr>
        <w:spacing w:after="160" w:before="0" w:line="360" w:lineRule="auto"/>
        <w:ind w:left="0" w:right="0" w:firstLine="0"/>
        <w:jc w:val="both"/>
        <w:rPr>
          <w:rFonts w:ascii="Arial" w:cs="Arial" w:eastAsia="Arial" w:hAnsi="Arial"/>
          <w:b w:val="0"/>
          <w:bCs w:val="0"/>
          <w:i w:val="0"/>
          <w:iCs w:val="0"/>
          <w:smallCaps w:val="0"/>
          <w:color w:val="000000"/>
          <w:sz w:val="24"/>
          <w:szCs w:val="24"/>
        </w:rPr>
      </w:pPr>
      <w:r w:rsidDel="00000000" w:rsidR="00000000" w:rsidRPr="00000000">
        <w:rPr>
          <w:rFonts w:ascii="Arial" w:cs="Arial" w:eastAsia="Arial" w:hAnsi="Arial"/>
          <w:b w:val="1"/>
          <w:bCs w:val="1"/>
          <w:i w:val="0"/>
          <w:iCs w:val="0"/>
          <w:smallCaps w:val="0"/>
          <w:color w:val="000000"/>
          <w:sz w:val="24"/>
          <w:szCs w:val="24"/>
          <w:rtl w:val="0"/>
        </w:rPr>
        <w:t xml:space="preserve">9o</w:t>
      </w:r>
      <w:r w:rsidDel="00000000" w:rsidR="00000000" w:rsidRPr="00000000">
        <w:rPr>
          <w:rFonts w:ascii="Arial" w:cs="Arial" w:eastAsia="Arial" w:hAnsi="Arial"/>
          <w:b w:val="0"/>
          <w:bCs w:val="0"/>
          <w:i w:val="0"/>
          <w:iCs w:val="0"/>
          <w:smallCaps w:val="0"/>
          <w:color w:val="000000"/>
          <w:sz w:val="24"/>
          <w:szCs w:val="24"/>
          <w:rtl w:val="0"/>
        </w:rPr>
        <w:t xml:space="preserve"> De los antecedentes señalados hasta ahora no se desprende que se haya llevado a cabo el mecanismo de consulta a que se refiere el Convenio 169 de la Organización Internacional del Trabajo sobre Pueblos Indígenas y Tribales en Países Independientes. De lo anterior dieron cuenta durante sus intervenciones en tribuna los diputados María de Fátima García León, Miguel Ángel Sánchez Rivera, Víctor Samuel Palma César, César Israel Damián Retes, María del Rosario Guzmán Avilés, Laura Cristina Márquez Alcalá y Laura Irais Ballesteros Mancilla, hecho que se desprende de la lectura de la versión estenográfica de la sesión ordinaria del miércoles 3 de diciembre de 2025 de la Cámara de Diputados. </w:t>
      </w:r>
    </w:p>
    <w:p w:rsidR="00000000" w:rsidDel="00000000" w:rsidP="00000000" w:rsidRDefault="00000000" w:rsidRPr="00000000" w14:paraId="00000085">
      <w:pPr>
        <w:spacing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10º</w:t>
      </w:r>
      <w:r w:rsidDel="00000000" w:rsidR="00000000" w:rsidRPr="00000000">
        <w:rPr>
          <w:rFonts w:ascii="Arial" w:cs="Arial" w:eastAsia="Arial" w:hAnsi="Arial"/>
          <w:sz w:val="24"/>
          <w:szCs w:val="24"/>
          <w:rtl w:val="0"/>
        </w:rPr>
        <w:t xml:space="preserve"> La comunidad quejosa es beneficiaria de las aguas de la región hidrológica donde se encuentra asentado su territorio, lo que se acredita con la documentación que se agrega a la presente.</w:t>
      </w:r>
    </w:p>
    <w:p w:rsidR="00000000" w:rsidDel="00000000" w:rsidP="00000000" w:rsidRDefault="00000000" w:rsidRPr="00000000" w14:paraId="00000086">
      <w:pPr>
        <w:spacing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11o. </w:t>
      </w:r>
      <w:r w:rsidDel="00000000" w:rsidR="00000000" w:rsidRPr="00000000">
        <w:rPr>
          <w:rFonts w:ascii="Arial" w:cs="Arial" w:eastAsia="Arial" w:hAnsi="Arial"/>
          <w:sz w:val="24"/>
          <w:szCs w:val="24"/>
          <w:rtl w:val="0"/>
        </w:rPr>
        <w:t xml:space="preserve">De lo hasta aquí señalado tenemos un par de omisiones que afectan tanto el derecho a la consulta que la asiste a las comunidades indígenas, como el de seguridad jurídica, razón que se estima suficiente para acudir ante Usía a solicitar el amparo y protección de la justicia federal. </w:t>
      </w:r>
    </w:p>
    <w:p w:rsidR="00000000" w:rsidDel="00000000" w:rsidP="00000000" w:rsidRDefault="00000000" w:rsidRPr="00000000" w14:paraId="00000087">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PRECEPTOS QUE CONTIENEN LOS DERECHOS HUMANOS Y LAS GARANTÍAS CUYA VIOLACIÓN SE RECLAMA:</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Artículos 2º, apartado A, fracción XIII, 14 y 16 de la Constitución Política de los Estados Unidos Mexicanos.</w:t>
      </w:r>
    </w:p>
    <w:p w:rsidR="00000000" w:rsidDel="00000000" w:rsidP="00000000" w:rsidRDefault="00000000" w:rsidRPr="00000000" w14:paraId="000000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Artículo 6o del Convenio 169 sobre Pueblos Indígenas y Tribales en Países Independientes.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INTERÉS LEGÍTIMO</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artículo 5o. fracción I de la Ley de Amparo señala que es parte en el juicio de amparo el quejoso, teniendo tal carácter quien aduce ser titular de un derecho subjetivo o de un interés legítimo individual o colectivo, siempre que alegue que la norma, acto u omisión reclamados violan los derechos previstos en el artículo 1o de la referida Ley y con ello se produzca una afectación real y actual a su esfera jurídica, ya sea de manera directa o en virtud de su especial situación frente al orden jurídico. De lo señalado en el dispositivo en comento se concluye que existen dos tipos de intereses para solicitar la protección de la justicia federal, a saber: jurídico y legítimo, sea éste individual o colectivo. En el primer caso señalado, el impetrante del amparo debe ser titular de un derecho subjetivo, es decir, tiene que alegar una afectación inmediata y directa en su esfera jurídica, derivada de tal titularidad.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el presente caso, la comunidad impetrante del amparo no sólo es titular del derecho a la consulta consagrado en el artículo 2º fracción XIII de la Constitución de la República, sino que es beneficiaria de las aguas de la región hidrológica que puede ser afectada con motivo de la emisión de los actos reclamados, con independencia de que éstos se ejecuten fuera del territorio que ocupa la comunidad lo que le autoriza a acudir ante su Señoría a pedir la protección y el amparo de la justicia federal, en tanto depositarios de un interés jurídico.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Sobre este particular, la Suprema Corte de Justicia de la Nación ha establecido que, para tener por acreditado el interés legítimo de las comunidades indígenas en un juicio de amparo indirecto en el que reclamen actos de autoridad que permitan la explotación del agua, por la vulneración del derecho al medio ambiente, basta con que demuestren que son beneficiarias de las aguas de la región hidrológica que puede ser afectada con motivo de la emisión de los actos reclamados, con independencia de que éstos se ejecuten fuera del territorio que ocupa la comunidad.</w:t>
      </w:r>
    </w:p>
    <w:p w:rsidR="00000000" w:rsidDel="00000000" w:rsidP="00000000" w:rsidRDefault="00000000" w:rsidRPr="00000000" w14:paraId="00000093">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Nuestro Máximo Tribunal también se pronunció en el sentido de que, para demostrar su interés legítimo, las comunidades indígenas que reclamen en un juicio de amparo indirecto actos de autoridad que puedan afectar una región hidrológica solamente deben acreditar que son beneficiarias de los servicios ambientales, con independencia de que los actos se ejecuten fuera del territorio que ocupa la comunidad, pues lo que se busca es proteger el sistema hidrológico que se encuentra conectado entre sí y cuya afectación podría impactar en la disponibilidad y calidad del agua.</w:t>
      </w:r>
    </w:p>
    <w:p w:rsidR="00000000" w:rsidDel="00000000" w:rsidP="00000000" w:rsidRDefault="00000000" w:rsidRPr="00000000" w14:paraId="0000009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Resulta aplicable en la especie la tesis de jurisprudencia 1a./J. 33/2025 (11a.), con número de referencia registro digital 2030346, sustentada por la Primera Sala de la Suprema Corte de Justicia de la Nación, consultable en la Gaceta del Semanario Judicial de la Federación. Libro 49, mayo de 2025, Tomo I, Volumen 1, página 498, Undécima Época, en cuyo rubro se lee “EXPLOTACIÓN DEL AGUA. INTERÉS LEGÍTIMO DE LAS COMUNIDADES INDÍGENAS PARA PROMOVER EL JUICIO DE AMPARO INDIRECTO.”</w:t>
      </w:r>
    </w:p>
    <w:p w:rsidR="00000000" w:rsidDel="00000000" w:rsidP="00000000" w:rsidRDefault="00000000" w:rsidRPr="00000000" w14:paraId="00000095">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CONCEPTOS DE VIOLACIÓN </w:t>
      </w:r>
    </w:p>
    <w:p w:rsidR="00000000" w:rsidDel="00000000" w:rsidP="00000000" w:rsidRDefault="00000000" w:rsidRPr="00000000" w14:paraId="00000097">
      <w:pPr>
        <w:spacing w:after="160" w:before="0" w:line="360" w:lineRule="auto"/>
        <w:ind w:left="0" w:right="0" w:firstLine="0"/>
        <w:jc w:val="both"/>
        <w:rPr>
          <w:rFonts w:ascii="Arial" w:cs="Arial" w:eastAsia="Arial" w:hAnsi="Arial"/>
          <w:i w:val="1"/>
          <w:iCs w:val="1"/>
          <w:sz w:val="24"/>
          <w:szCs w:val="24"/>
        </w:rPr>
      </w:pPr>
      <w:r w:rsidDel="00000000" w:rsidR="00000000" w:rsidRPr="00000000">
        <w:rPr>
          <w:rFonts w:ascii="Arial" w:cs="Arial" w:eastAsia="Arial" w:hAnsi="Arial"/>
          <w:b w:val="1"/>
          <w:bCs w:val="1"/>
          <w:sz w:val="24"/>
          <w:szCs w:val="24"/>
          <w:rtl w:val="0"/>
        </w:rPr>
        <w:t xml:space="preserve">PRIMERO. –</w:t>
      </w:r>
      <w:r w:rsidDel="00000000" w:rsidR="00000000" w:rsidRPr="00000000">
        <w:rPr>
          <w:rFonts w:ascii="Arial" w:cs="Arial" w:eastAsia="Arial" w:hAnsi="Arial"/>
          <w:sz w:val="24"/>
          <w:szCs w:val="24"/>
          <w:rtl w:val="0"/>
        </w:rPr>
        <w:t xml:space="preserve"> El Capítulo Tercero de la Ley General de Aguas establece a la letra lo siguiente:</w:t>
      </w:r>
      <w:r w:rsidDel="00000000" w:rsidR="00000000" w:rsidRPr="00000000">
        <w:rPr>
          <w:rtl w:val="0"/>
        </w:rPr>
      </w:r>
    </w:p>
    <w:p w:rsidR="00000000" w:rsidDel="00000000" w:rsidP="00000000" w:rsidRDefault="00000000" w:rsidRPr="00000000" w14:paraId="00000098">
      <w:pPr>
        <w:shd w:fill="ffffff" w:val="clear"/>
        <w:spacing w:after="101" w:before="0" w:line="360" w:lineRule="auto"/>
        <w:ind w:left="450" w:right="450" w:firstLine="0"/>
        <w:jc w:val="center"/>
        <w:rPr>
          <w:rFonts w:ascii="Arial" w:cs="Arial" w:eastAsia="Arial" w:hAnsi="Arial"/>
          <w:b w:val="1"/>
          <w:bCs w:val="1"/>
          <w:i w:val="0"/>
          <w:iCs w:val="0"/>
          <w:smallCaps w:val="0"/>
          <w:color w:val="2f2f2f"/>
          <w:sz w:val="18"/>
          <w:szCs w:val="18"/>
        </w:rPr>
      </w:pPr>
      <w:r w:rsidDel="00000000" w:rsidR="00000000" w:rsidRPr="00000000">
        <w:rPr>
          <w:rFonts w:ascii="Arial" w:cs="Arial" w:eastAsia="Arial" w:hAnsi="Arial"/>
          <w:b w:val="1"/>
          <w:bCs w:val="1"/>
          <w:i w:val="0"/>
          <w:iCs w:val="0"/>
          <w:smallCaps w:val="0"/>
          <w:color w:val="2f2f2f"/>
          <w:sz w:val="18"/>
          <w:szCs w:val="18"/>
          <w:rtl w:val="0"/>
        </w:rPr>
        <w:t xml:space="preserve">Capítulo Tercero</w:t>
      </w:r>
      <w:r w:rsidDel="00000000" w:rsidR="00000000" w:rsidRPr="00000000">
        <w:rPr>
          <w:rtl w:val="0"/>
        </w:rPr>
        <w:br w:type="textWrapping"/>
      </w:r>
      <w:r w:rsidDel="00000000" w:rsidR="00000000" w:rsidRPr="00000000">
        <w:rPr>
          <w:rFonts w:ascii="Arial" w:cs="Arial" w:eastAsia="Arial" w:hAnsi="Arial"/>
          <w:b w:val="1"/>
          <w:bCs w:val="1"/>
          <w:i w:val="0"/>
          <w:iCs w:val="0"/>
          <w:smallCaps w:val="0"/>
          <w:color w:val="2f2f2f"/>
          <w:sz w:val="18"/>
          <w:szCs w:val="18"/>
          <w:rtl w:val="0"/>
        </w:rPr>
        <w:t xml:space="preserve">Sistemas Comunitarios de Agua y Saneamiento</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99">
      <w:pPr>
        <w:shd w:fill="ffffff" w:val="clear"/>
        <w:spacing w:after="101" w:before="0" w:line="360" w:lineRule="auto"/>
        <w:ind w:left="450" w:right="450" w:firstLine="288"/>
        <w:jc w:val="both"/>
        <w:rPr>
          <w:rFonts w:ascii="Arial" w:cs="Arial" w:eastAsia="Arial" w:hAnsi="Arial"/>
          <w:b w:val="0"/>
          <w:bCs w:val="0"/>
          <w:i w:val="0"/>
          <w:iCs w:val="0"/>
          <w:smallCaps w:val="0"/>
          <w:color w:val="2f2f2f"/>
          <w:sz w:val="18"/>
          <w:szCs w:val="18"/>
        </w:rPr>
      </w:pPr>
      <w:r w:rsidDel="00000000" w:rsidR="00000000" w:rsidRPr="00000000">
        <w:rPr>
          <w:rFonts w:ascii="Arial" w:cs="Arial" w:eastAsia="Arial" w:hAnsi="Arial"/>
          <w:b w:val="1"/>
          <w:bCs w:val="1"/>
          <w:i w:val="0"/>
          <w:iCs w:val="0"/>
          <w:smallCaps w:val="0"/>
          <w:color w:val="2f2f2f"/>
          <w:sz w:val="18"/>
          <w:szCs w:val="18"/>
          <w:rtl w:val="0"/>
        </w:rPr>
        <w:t xml:space="preserve">Artículo 40.</w:t>
      </w:r>
      <w:r w:rsidDel="00000000" w:rsidR="00000000" w:rsidRPr="00000000">
        <w:rPr>
          <w:rFonts w:ascii="Arial" w:cs="Arial" w:eastAsia="Arial" w:hAnsi="Arial"/>
          <w:b w:val="0"/>
          <w:bCs w:val="0"/>
          <w:i w:val="0"/>
          <w:iCs w:val="0"/>
          <w:smallCaps w:val="0"/>
          <w:color w:val="2f2f2f"/>
          <w:sz w:val="18"/>
          <w:szCs w:val="18"/>
          <w:rtl w:val="0"/>
        </w:rPr>
        <w:t xml:space="preserve"> Se reconocen a los sistemas comunitarios de agua y saneamiento que se ubican en aquellas zonas que no estén incluidas dentro del área de operación de los servicios municipales de agua y saneamiento, intermunicipales o metropolitanos para brindar y gestionar el servicio de agua potable y, en su caso, tratamiento de aguas residuales, así como aquellos que se constituyan en apego a sus sistemas normativos.</w:t>
      </w:r>
    </w:p>
    <w:p w:rsidR="00000000" w:rsidDel="00000000" w:rsidP="00000000" w:rsidRDefault="00000000" w:rsidRPr="00000000" w14:paraId="0000009A">
      <w:pPr>
        <w:shd w:fill="ffffff" w:val="clear"/>
        <w:spacing w:after="101" w:before="0" w:line="360" w:lineRule="auto"/>
        <w:ind w:left="450" w:right="450" w:firstLine="288"/>
        <w:jc w:val="both"/>
        <w:rPr>
          <w:rFonts w:ascii="Arial" w:cs="Arial" w:eastAsia="Arial" w:hAnsi="Arial"/>
          <w:b w:val="0"/>
          <w:bCs w:val="0"/>
          <w:i w:val="0"/>
          <w:iCs w:val="0"/>
          <w:smallCaps w:val="0"/>
          <w:color w:val="2f2f2f"/>
          <w:sz w:val="18"/>
          <w:szCs w:val="18"/>
        </w:rPr>
      </w:pPr>
      <w:r w:rsidDel="00000000" w:rsidR="00000000" w:rsidRPr="00000000">
        <w:rPr>
          <w:rFonts w:ascii="Arial" w:cs="Arial" w:eastAsia="Arial" w:hAnsi="Arial"/>
          <w:b w:val="1"/>
          <w:bCs w:val="1"/>
          <w:i w:val="0"/>
          <w:iCs w:val="0"/>
          <w:smallCaps w:val="0"/>
          <w:color w:val="2f2f2f"/>
          <w:sz w:val="18"/>
          <w:szCs w:val="18"/>
          <w:rtl w:val="0"/>
        </w:rPr>
        <w:t xml:space="preserve">Artículo 41.</w:t>
      </w:r>
      <w:r w:rsidDel="00000000" w:rsidR="00000000" w:rsidRPr="00000000">
        <w:rPr>
          <w:rFonts w:ascii="Arial" w:cs="Arial" w:eastAsia="Arial" w:hAnsi="Arial"/>
          <w:b w:val="0"/>
          <w:bCs w:val="0"/>
          <w:i w:val="0"/>
          <w:iCs w:val="0"/>
          <w:smallCaps w:val="0"/>
          <w:color w:val="2f2f2f"/>
          <w:sz w:val="18"/>
          <w:szCs w:val="18"/>
          <w:rtl w:val="0"/>
        </w:rPr>
        <w:t xml:space="preserve"> Los sistemas comunitarios sólo podrán prestar los servicios de agua y saneamiento para uso personal y doméstico, sin fines de lucro.</w:t>
      </w:r>
    </w:p>
    <w:p w:rsidR="00000000" w:rsidDel="00000000" w:rsidP="00000000" w:rsidRDefault="00000000" w:rsidRPr="00000000" w14:paraId="0000009B">
      <w:pPr>
        <w:shd w:fill="ffffff" w:val="clear"/>
        <w:spacing w:after="101" w:before="0" w:line="360" w:lineRule="auto"/>
        <w:ind w:left="450" w:right="450" w:firstLine="288"/>
        <w:jc w:val="both"/>
        <w:rPr>
          <w:rFonts w:ascii="Arial" w:cs="Arial" w:eastAsia="Arial" w:hAnsi="Arial"/>
          <w:b w:val="0"/>
          <w:bCs w:val="0"/>
          <w:i w:val="0"/>
          <w:iCs w:val="0"/>
          <w:smallCaps w:val="0"/>
          <w:color w:val="2f2f2f"/>
          <w:sz w:val="18"/>
          <w:szCs w:val="18"/>
        </w:rPr>
      </w:pPr>
      <w:r w:rsidDel="00000000" w:rsidR="00000000" w:rsidRPr="00000000">
        <w:rPr>
          <w:rFonts w:ascii="Arial" w:cs="Arial" w:eastAsia="Arial" w:hAnsi="Arial"/>
          <w:b w:val="1"/>
          <w:bCs w:val="1"/>
          <w:i w:val="0"/>
          <w:iCs w:val="0"/>
          <w:smallCaps w:val="0"/>
          <w:color w:val="2f2f2f"/>
          <w:sz w:val="18"/>
          <w:szCs w:val="18"/>
          <w:rtl w:val="0"/>
        </w:rPr>
        <w:t xml:space="preserve">Artículo 42.</w:t>
      </w:r>
      <w:r w:rsidDel="00000000" w:rsidR="00000000" w:rsidRPr="00000000">
        <w:rPr>
          <w:rFonts w:ascii="Arial" w:cs="Arial" w:eastAsia="Arial" w:hAnsi="Arial"/>
          <w:b w:val="0"/>
          <w:bCs w:val="0"/>
          <w:i w:val="0"/>
          <w:iCs w:val="0"/>
          <w:smallCaps w:val="0"/>
          <w:color w:val="2f2f2f"/>
          <w:sz w:val="18"/>
          <w:szCs w:val="18"/>
          <w:rtl w:val="0"/>
        </w:rPr>
        <w:t xml:space="preserve"> La operación de cada sistema comunitario se regulará según lo determinen las leyes que al respecto se emitan por parte de las legislaturas de las entidades federativas.</w:t>
      </w:r>
    </w:p>
    <w:p w:rsidR="00000000" w:rsidDel="00000000" w:rsidP="00000000" w:rsidRDefault="00000000" w:rsidRPr="00000000" w14:paraId="0000009C">
      <w:pPr>
        <w:shd w:fill="ffffff" w:val="clear"/>
        <w:spacing w:after="101" w:before="0" w:line="360" w:lineRule="auto"/>
        <w:ind w:left="450" w:right="450" w:firstLine="288"/>
        <w:jc w:val="both"/>
        <w:rPr>
          <w:rFonts w:ascii="Arial" w:cs="Arial" w:eastAsia="Arial" w:hAnsi="Arial"/>
          <w:b w:val="0"/>
          <w:bCs w:val="0"/>
          <w:i w:val="0"/>
          <w:iCs w:val="0"/>
          <w:smallCaps w:val="0"/>
          <w:color w:val="2f2f2f"/>
          <w:sz w:val="18"/>
          <w:szCs w:val="18"/>
        </w:rPr>
      </w:pPr>
      <w:r w:rsidDel="00000000" w:rsidR="00000000" w:rsidRPr="00000000">
        <w:rPr>
          <w:rFonts w:ascii="Arial" w:cs="Arial" w:eastAsia="Arial" w:hAnsi="Arial"/>
          <w:b w:val="1"/>
          <w:bCs w:val="1"/>
          <w:i w:val="0"/>
          <w:iCs w:val="0"/>
          <w:smallCaps w:val="0"/>
          <w:color w:val="2f2f2f"/>
          <w:sz w:val="18"/>
          <w:szCs w:val="18"/>
          <w:rtl w:val="0"/>
        </w:rPr>
        <w:t xml:space="preserve">Artículo 43.</w:t>
      </w:r>
      <w:r w:rsidDel="00000000" w:rsidR="00000000" w:rsidRPr="00000000">
        <w:rPr>
          <w:rFonts w:ascii="Arial" w:cs="Arial" w:eastAsia="Arial" w:hAnsi="Arial"/>
          <w:b w:val="0"/>
          <w:bCs w:val="0"/>
          <w:i w:val="0"/>
          <w:iCs w:val="0"/>
          <w:smallCaps w:val="0"/>
          <w:color w:val="2f2f2f"/>
          <w:sz w:val="18"/>
          <w:szCs w:val="18"/>
          <w:rtl w:val="0"/>
        </w:rPr>
        <w:t xml:space="preserve"> Los sistemas comunitarios de agua y saneamiento, y los servicios de agua para actividades productivas, administrados por los pueblos y comunidades indígenas y afromexicanas, serán regulados por la ley general reglamentaria del artículo 2o. de la Constitución Política de los Estados Unidos Mexicanos.</w:t>
      </w:r>
    </w:p>
    <w:p w:rsidR="00000000" w:rsidDel="00000000" w:rsidP="00000000" w:rsidRDefault="00000000" w:rsidRPr="00000000" w14:paraId="0000009D">
      <w:pPr>
        <w:spacing w:after="160" w:before="0" w:line="360" w:lineRule="auto"/>
        <w:ind w:left="450" w:right="45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E">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artículos trascritos vulneran el derecho a la consulta previa de los pueblos y comunidades indígenas, reconocido en los artículos 2o apartado A fracción XIII y 6o del Convenio 169, a través de los cuales se exige celebrar consultas con este sector poblacional durante el proceso de elaboración de leyes que les afecten, ello en virtud de que contiene disposiciones que impactan significativamente a los pueblos y comunidades originarias, al regular los sistemas comunitarios de agua y saneamiento, y los servicios de agua para actividades productivas, administrados por los pueblos y comunidades indígenas y afromexicanas, sólo que</w:t>
      </w:r>
      <w:r w:rsidDel="00000000" w:rsidR="00000000" w:rsidRPr="00000000">
        <w:rPr>
          <w:rFonts w:ascii="Arial" w:cs="Arial" w:eastAsia="Arial" w:hAnsi="Arial"/>
          <w:color w:val="000000"/>
          <w:sz w:val="24"/>
          <w:szCs w:val="24"/>
          <w:rtl w:val="0"/>
        </w:rPr>
        <w:t xml:space="preserve"> del análisis del proceso legislativo no se advierte que se hayan llevado a cabo consultas que cumplieran con los parámetros correspondientes en dichas materias. </w:t>
      </w:r>
      <w:r w:rsidDel="00000000" w:rsidR="00000000" w:rsidRPr="00000000">
        <w:rPr>
          <w:rtl w:val="0"/>
        </w:rPr>
      </w:r>
    </w:p>
    <w:p w:rsidR="00000000" w:rsidDel="00000000" w:rsidP="00000000" w:rsidRDefault="00000000" w:rsidRPr="00000000" w14:paraId="0000009F">
      <w:pPr>
        <w:spacing w:after="160" w:before="0" w:line="360" w:lineRule="auto"/>
        <w:ind w:left="0" w:right="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Decreto cuyo contenido se tilda de inconstitucional se refiere a determinados derechos y límites a los pueblos y comunidades indígenas en materia de agua, a saber: </w:t>
      </w:r>
    </w:p>
    <w:p w:rsidR="00000000" w:rsidDel="00000000" w:rsidP="00000000" w:rsidRDefault="00000000" w:rsidRPr="00000000" w14:paraId="000000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360" w:lineRule="auto"/>
        <w:ind w:left="810" w:right="45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reconocimiento a los sistemas comunitarios de agua y saneamiento que se ubican en aquellas zonas que no estén incluidas dentro del área de operación de los servicios municipales de agua y saneamiento, intermunicipales o metropolitanos para brindar y gestionar el servicio de agua potable y, en su caso, tratamiento de aguas residuales, así como aquellos que se constituyan en apego a sus sistemas normativos (artículo 40);</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810" w:right="45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360" w:lineRule="auto"/>
        <w:ind w:left="810" w:right="45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 limitación para que los sistemas comunitarios sólo puedan prestar los servicios de agua y saneamiento para uso personal y doméstico, sin fines de lucro (artículo 41);</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810" w:right="45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360" w:lineRule="auto"/>
        <w:ind w:left="810" w:right="45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imperativo para que la operación de cada sistema comunitario se regule según lo determinen las leyes que al respecto se emitan por parte de las legislaturas de las entidades federativas (artículo 42), y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810" w:right="45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01" w:before="0" w:line="360" w:lineRule="auto"/>
        <w:ind w:left="810" w:right="45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mandato para que los sistemas comunitarios de agua y saneamiento, y los servicios de agua para actividades productivas, administrados por los pueblos y comunidades indígenas y afromexicanas, sean regulados por la ley general reglamentaria del artículo 2o. de la Constitución Política de los Estados Unidos Mexicanos (artículo 43).</w:t>
      </w:r>
    </w:p>
    <w:p w:rsidR="00000000" w:rsidDel="00000000" w:rsidP="00000000" w:rsidRDefault="00000000" w:rsidRPr="00000000" w14:paraId="000000A7">
      <w:pPr>
        <w:spacing w:after="160" w:before="0" w:line="360" w:lineRule="auto"/>
        <w:ind w:left="0" w:right="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A8">
      <w:pPr>
        <w:spacing w:after="160" w:before="0" w:line="360" w:lineRule="auto"/>
        <w:ind w:left="0" w:right="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juicio de esta impetrante de amparo los artículos en comento trasgreden el derecho a la consulta de los pueblos y comunidades en México, ya que de la revisión del procedimiento legislativo correspondiente se advierte que el Congreso General no llevó a cabo una consulta previa a los pueblos y comunidades indígenas, pese a que la reforma tiene un impacto significativo en los pueblos y comunidades indígenas, por lo que su actuación no se ajusta a los parámetros establecidos en la Ley Fundamental y un convenio suscrito por el Estado Mexicano publicado en el Diario Oficial de la Federación desde el 24 de enero de 1991.</w:t>
      </w:r>
    </w:p>
    <w:p w:rsidR="00000000" w:rsidDel="00000000" w:rsidP="00000000" w:rsidRDefault="00000000" w:rsidRPr="00000000" w14:paraId="000000A9">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No es ocioso recordar que el artículo 2° de nuestra Norma Fundamental estipula que la Nación Mexicana es única e indivisible, basada en la grandeza de sus pueblos y culturas, así como también que tiene una composición pluricultural y multiétnica sustentada originalmente en sus pueblos indígenas, que son aquellas colectividades con una continuidad histórica de las sociedades precoloniales establecidas en el territorio nacional; y que conservan, desarrollan y transmiten sus instituciones sociales, normativas, económicas, culturales y políticas, o parte de ellas. </w:t>
      </w:r>
      <w:r w:rsidDel="00000000" w:rsidR="00000000" w:rsidRPr="00000000">
        <w:rPr>
          <w:rtl w:val="0"/>
        </w:rPr>
      </w:r>
    </w:p>
    <w:p w:rsidR="00000000" w:rsidDel="00000000" w:rsidP="00000000" w:rsidRDefault="00000000" w:rsidRPr="00000000" w14:paraId="000000AA">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La conciencia de la identidad indígena, agrega la constitución, deberá ser criterio fundamental para determinar a quiénes se aplican las disposiciones sobre pueblos indígenas y establece que son comunidades integrantes de un pueblo indígena, aquellas que forman una unidad social, económica y cultural, asentadas en un territorio y que reconocen autoridades propias de acuerdo con sus sistemas normativos. </w:t>
      </w:r>
      <w:r w:rsidDel="00000000" w:rsidR="00000000" w:rsidRPr="00000000">
        <w:rPr>
          <w:rtl w:val="0"/>
        </w:rPr>
      </w:r>
    </w:p>
    <w:p w:rsidR="00000000" w:rsidDel="00000000" w:rsidP="00000000" w:rsidRDefault="00000000" w:rsidRPr="00000000" w14:paraId="000000AB">
      <w:pPr>
        <w:spacing w:after="160" w:before="0" w:line="360" w:lineRule="auto"/>
        <w:ind w:left="0" w:right="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igual forma, la Constitución dispone que el derecho de los pueblos indígenas a la libre determinación se ejercerá en un marco constitucional de autonomía que asegure la unidad nacional y para el reconocimiento de los pueblos y comunidades indígenas se deben tomar en cuenta criterios etnolingüísticos, de asentamiento físico y de </w:t>
      </w:r>
      <w:r w:rsidDel="00000000" w:rsidR="00000000" w:rsidRPr="00000000">
        <w:rPr>
          <w:rFonts w:ascii="Arial" w:cs="Arial" w:eastAsia="Arial" w:hAnsi="Arial"/>
          <w:sz w:val="24"/>
          <w:szCs w:val="24"/>
          <w:rtl w:val="0"/>
        </w:rPr>
        <w:t xml:space="preserve">autoadscripción. </w:t>
      </w:r>
      <w:r w:rsidDel="00000000" w:rsidR="00000000" w:rsidRPr="00000000">
        <w:rPr>
          <w:rtl w:val="0"/>
        </w:rPr>
      </w:r>
    </w:p>
    <w:p w:rsidR="00000000" w:rsidDel="00000000" w:rsidP="00000000" w:rsidRDefault="00000000" w:rsidRPr="00000000" w14:paraId="000000AC">
      <w:pPr>
        <w:spacing w:after="160" w:before="0" w:line="36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D">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Igualmente se reconoce en el texto constitucional a los pueblos y comunidades indígenas como sujetos de derecho público con personalidad jurídica y patrimonio propio, al igual que el derecho a la libre determinación y, en consecuencia, a la autonomía para ser consultados sobre las medidas legislativas o administrativas que se pretendan adoptar, cuando estas puedan causar afectaciones o impactos significativos en su vida o entorno, con la finalidad de obtener su consentimiento o, en su caso, llegar a un acuerdo sobre tales medidas. </w:t>
      </w:r>
    </w:p>
    <w:p w:rsidR="00000000" w:rsidDel="00000000" w:rsidP="00000000" w:rsidRDefault="00000000" w:rsidRPr="00000000" w14:paraId="000000AE">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Tales consultas indígenas se realizarán de conformidad con aquellos principios y normas que garanticen el respeto y el ejercicio efectivo de los derechos sustantivos de los pueblos indígenas reconocidos en la propia Constitución. </w:t>
      </w:r>
    </w:p>
    <w:p w:rsidR="00000000" w:rsidDel="00000000" w:rsidP="00000000" w:rsidRDefault="00000000" w:rsidRPr="00000000" w14:paraId="000000AF">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Cuando la medida administrativa que se pretenda adoptar beneficie a un particular, el costo de la consulta debe ser cubierto por éste. </w:t>
      </w:r>
    </w:p>
    <w:p w:rsidR="00000000" w:rsidDel="00000000" w:rsidP="00000000" w:rsidRDefault="00000000" w:rsidRPr="00000000" w14:paraId="000000B0">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persona física o moral que obtenga un lucro por las medidas administrativas objeto de consulta debe otorgar a los pueblos y comunidades indígenas un beneficio justo y equitativo, en los términos que establezcan las leyes aplicables. </w:t>
      </w:r>
    </w:p>
    <w:p w:rsidR="00000000" w:rsidDel="00000000" w:rsidP="00000000" w:rsidRDefault="00000000" w:rsidRPr="00000000" w14:paraId="000000B1">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pueblos y comunidades indígenas son los únicos legitimados para impugnar, por las vías jurisdiccionales establecidas, el incumplimiento del derecho a la consulta, debiendo la ley de la materia regular los términos, condiciones y procedimientos para llevar a cabo la impugnación.</w:t>
      </w:r>
    </w:p>
    <w:p w:rsidR="00000000" w:rsidDel="00000000" w:rsidP="00000000" w:rsidRDefault="00000000" w:rsidRPr="00000000" w14:paraId="000000B2">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El derecho a la consulta previa, libre e informada que tienen los pueblos y comunidades indígenas frente a las acciones estatales que puedan afectarles de manera significativa, también encuentra asidero legal en el ámbito internacional, como el Convenio 169, cuya observancia resulta obligatoria como resultado de su ratificación por el Senado de la República, lo que le incorporó al marco jurídico nacional, de conformidad con el artículo 133 de la Carta Magna, en el cual se establecen las bases del parámetro de regularidad constitucional.</w:t>
      </w:r>
      <w:r w:rsidDel="00000000" w:rsidR="00000000" w:rsidRPr="00000000">
        <w:rPr>
          <w:rtl w:val="0"/>
        </w:rPr>
      </w:r>
    </w:p>
    <w:p w:rsidR="00000000" w:rsidDel="00000000" w:rsidP="00000000" w:rsidRDefault="00000000" w:rsidRPr="00000000" w14:paraId="000000B3">
      <w:pPr>
        <w:spacing w:after="160" w:before="0" w:line="360" w:lineRule="auto"/>
        <w:ind w:left="0" w:right="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4">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Sobre este particular es aplicable la tesis de jurisprudencia P./J. 20/2014 (10a.) sustentada por el Pleno de esa Suprema Corte de Justicia de la Nación, publicada en el Semanario Judicial de la Federación y su Gaceta, Libro 5, abril de 2014, Tomo I, materia constitucional, página 202, del rubro: “DERECHOS HUMANOS CONTENIDOS EN LA CONSTITUCIÓN Y EN LOS TRATADOS INTERNACIONALES. CONSTITUYEN EL PARÁMETRO DE CONTROL DE REGULARIDAD CONSTITUCIONAL, PERO CUANDO EN LA CONSTITUCIÓN HAYA UNA RESTRICCIÓN EXPRESA AL EJERCICIO DE AQUÉLLOS, SE DEBE ESTAR A LO QUE ESTABLECE EL TEXTO CONSTITUCIONAL.” </w:t>
      </w:r>
      <w:r w:rsidDel="00000000" w:rsidR="00000000" w:rsidRPr="00000000">
        <w:rPr>
          <w:rtl w:val="0"/>
        </w:rPr>
      </w:r>
    </w:p>
    <w:p w:rsidR="00000000" w:rsidDel="00000000" w:rsidP="00000000" w:rsidRDefault="00000000" w:rsidRPr="00000000" w14:paraId="000000B5">
      <w:pPr>
        <w:spacing w:after="160" w:before="0" w:line="360" w:lineRule="auto"/>
        <w:ind w:left="0" w:right="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Ahora bien, el Convenio 169 establece en su artículo 6o que, a</w:t>
      </w:r>
      <w:r w:rsidDel="00000000" w:rsidR="00000000" w:rsidRPr="00000000">
        <w:rPr>
          <w:rFonts w:ascii="Arial" w:cs="Arial" w:eastAsia="Arial" w:hAnsi="Arial"/>
          <w:sz w:val="24"/>
          <w:szCs w:val="24"/>
          <w:rtl w:val="0"/>
        </w:rPr>
        <w:t xml:space="preserve">l aplicar las disposiciones del Convenio, los gobiernos deberán: </w:t>
      </w:r>
      <w:r w:rsidDel="00000000" w:rsidR="00000000" w:rsidRPr="00000000">
        <w:rPr>
          <w:rtl w:val="0"/>
        </w:rPr>
      </w:r>
    </w:p>
    <w:p w:rsidR="00000000" w:rsidDel="00000000" w:rsidP="00000000" w:rsidRDefault="00000000" w:rsidRPr="00000000" w14:paraId="000000B6">
      <w:pPr>
        <w:spacing w:after="160" w:before="0" w:line="360" w:lineRule="auto"/>
        <w:ind w:left="0" w:right="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 consultar a los pueblos interesados, mediante procedimientos apropiados y en particular a través de sus instituciones representativas, cada vez que se prevean medidas legislativas o administrativas susceptibles de afectarles directamente; </w:t>
      </w:r>
      <w:r w:rsidDel="00000000" w:rsidR="00000000" w:rsidRPr="00000000">
        <w:rPr>
          <w:rtl w:val="0"/>
        </w:rPr>
      </w:r>
    </w:p>
    <w:p w:rsidR="00000000" w:rsidDel="00000000" w:rsidP="00000000" w:rsidRDefault="00000000" w:rsidRPr="00000000" w14:paraId="000000B7">
      <w:pPr>
        <w:spacing w:after="160" w:before="0" w:line="360" w:lineRule="auto"/>
        <w:ind w:left="0" w:right="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b) establecer los medios a través de los cuales los pueblos interesados puedan participar libremente, por lo menos en la misma medida que otros sectores de la población, y a todos los niveles en la adopción de decisiones en instituciones electivas y organismos administrativos y de otra índole responsables de políticas y programas que les conciernan; </w:t>
      </w:r>
      <w:r w:rsidDel="00000000" w:rsidR="00000000" w:rsidRPr="00000000">
        <w:rPr>
          <w:rtl w:val="0"/>
        </w:rPr>
      </w:r>
    </w:p>
    <w:p w:rsidR="00000000" w:rsidDel="00000000" w:rsidP="00000000" w:rsidRDefault="00000000" w:rsidRPr="00000000" w14:paraId="000000B8">
      <w:pPr>
        <w:spacing w:after="160" w:before="0" w:line="360" w:lineRule="auto"/>
        <w:ind w:left="0" w:right="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 establecer los medios para el pleno desarrollo de las instituciones e iniciativas de esos pueblos, y en los casos apropiados proporcionar los recursos necesarios para este fin. </w:t>
      </w:r>
      <w:r w:rsidDel="00000000" w:rsidR="00000000" w:rsidRPr="00000000">
        <w:rPr>
          <w:rtl w:val="0"/>
        </w:rPr>
      </w:r>
    </w:p>
    <w:p w:rsidR="00000000" w:rsidDel="00000000" w:rsidP="00000000" w:rsidRDefault="00000000" w:rsidRPr="00000000" w14:paraId="000000B9">
      <w:pPr>
        <w:spacing w:after="160" w:before="0" w:line="360" w:lineRule="auto"/>
        <w:ind w:left="0" w:right="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2. Las consultas llevadas a cabo en aplicación de este Convenio deberán efectuarse de buena fe y de una manera apropiada a las circunstancias, con la finalidad de llegar a un acuerdo o lograr el consentimiento acerca de las medidas propuestas.</w:t>
      </w:r>
      <w:r w:rsidDel="00000000" w:rsidR="00000000" w:rsidRPr="00000000">
        <w:rPr>
          <w:rtl w:val="0"/>
        </w:rPr>
      </w:r>
    </w:p>
    <w:p w:rsidR="00000000" w:rsidDel="00000000" w:rsidP="00000000" w:rsidRDefault="00000000" w:rsidRPr="00000000" w14:paraId="000000BA">
      <w:pPr>
        <w:spacing w:after="160" w:before="0" w:line="360" w:lineRule="auto"/>
        <w:ind w:left="0" w:right="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B">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Aunado a lo anterior, el artículo 7 del citado Convenio refiere que los pueblos interesados deben tener el derecho de decidir 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w:t>
      </w:r>
      <w:r w:rsidDel="00000000" w:rsidR="00000000" w:rsidRPr="00000000">
        <w:rPr>
          <w:rtl w:val="0"/>
        </w:rPr>
      </w:r>
    </w:p>
    <w:p w:rsidR="00000000" w:rsidDel="00000000" w:rsidP="00000000" w:rsidRDefault="00000000" w:rsidRPr="00000000" w14:paraId="000000BC">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 la lectura de los dispositivos antes invocados se desprende con meridiana claridad la obligación a cargo del Estado Mexicano de consultar a los pueblos y comunidades indígenas, lo que se traduce en el imperativo de organizar a las instituciones competentes del propio Estado a fin de que las consultas se realicen adecuadamente y conforme a los parámetros previstos en el marco jurídico. </w:t>
      </w:r>
      <w:r w:rsidDel="00000000" w:rsidR="00000000" w:rsidRPr="00000000">
        <w:rPr>
          <w:rtl w:val="0"/>
        </w:rPr>
      </w:r>
    </w:p>
    <w:p w:rsidR="00000000" w:rsidDel="00000000" w:rsidP="00000000" w:rsidRDefault="00000000" w:rsidRPr="00000000" w14:paraId="000000BD">
      <w:pPr>
        <w:spacing w:after="160" w:before="0" w:line="360" w:lineRule="auto"/>
        <w:ind w:left="0" w:right="0" w:firstLine="0"/>
        <w:jc w:val="both"/>
        <w:rPr>
          <w:rFonts w:ascii="Arial" w:cs="Arial" w:eastAsia="Arial" w:hAnsi="Arial"/>
          <w:i w:val="1"/>
          <w:iCs w:val="1"/>
          <w:color w:val="000000"/>
          <w:sz w:val="24"/>
          <w:szCs w:val="24"/>
        </w:rPr>
      </w:pPr>
      <w:r w:rsidDel="00000000" w:rsidR="00000000" w:rsidRPr="00000000">
        <w:rPr>
          <w:rFonts w:ascii="Arial" w:cs="Arial" w:eastAsia="Arial" w:hAnsi="Arial"/>
          <w:color w:val="000000"/>
          <w:sz w:val="24"/>
          <w:szCs w:val="24"/>
          <w:rtl w:val="0"/>
        </w:rPr>
        <w:t xml:space="preserve">Sobre este particular, la Comisión Nacional de los Derechos Humanos estableció en su demanda de controversia constitucional que recibiera el número de expediente 121/2019 que </w:t>
      </w:r>
      <w:r w:rsidDel="00000000" w:rsidR="00000000" w:rsidRPr="00000000">
        <w:rPr>
          <w:rFonts w:ascii="Arial" w:cs="Arial" w:eastAsia="Arial" w:hAnsi="Arial"/>
          <w:i w:val="1"/>
          <w:iCs w:val="1"/>
          <w:color w:val="000000"/>
          <w:sz w:val="24"/>
          <w:szCs w:val="24"/>
          <w:rtl w:val="0"/>
        </w:rPr>
        <w:t xml:space="preserve">“el derecho a la consulta previa constituye una de las garantías fundamentales de participación de los pueblos y comunidades indígenas en las decisiones relativas a medidas que puedan afectar sus derechos e intereses. En ese tenor, se erige como una prerrogativa necesaria para salvaguardar la libre determinación de las comunidades indígenas, así como la totalidad de derechos e instituciones políticas, sociales, económicas y culturales que les pertenecen, incluyendo los derechos culturales y patrimoniales que la Constitución y los tratados internacionales les reconocen”. </w:t>
      </w:r>
    </w:p>
    <w:p w:rsidR="00000000" w:rsidDel="00000000" w:rsidP="00000000" w:rsidRDefault="00000000" w:rsidRPr="00000000" w14:paraId="000000BE">
      <w:pPr>
        <w:spacing w:after="160" w:before="0" w:line="360" w:lineRule="auto"/>
        <w:ind w:left="0" w:right="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Corte Interamericana de Derechos Humanos al resolver el caso Pueblo indígena Kichwa de Sarayaku vs. Ecuador señaló que “</w:t>
      </w:r>
      <w:r w:rsidDel="00000000" w:rsidR="00000000" w:rsidRPr="00000000">
        <w:rPr>
          <w:rFonts w:ascii="Arial" w:cs="Arial" w:eastAsia="Arial" w:hAnsi="Arial"/>
          <w:i w:val="1"/>
          <w:iCs w:val="1"/>
          <w:color w:val="000000"/>
          <w:sz w:val="24"/>
          <w:szCs w:val="24"/>
          <w:rtl w:val="0"/>
        </w:rPr>
        <w:t xml:space="preserve">l</w:t>
      </w:r>
      <w:r w:rsidDel="00000000" w:rsidR="00000000" w:rsidRPr="00000000">
        <w:rPr>
          <w:rFonts w:ascii="Arial" w:cs="Arial" w:eastAsia="Arial" w:hAnsi="Arial"/>
          <w:i w:val="1"/>
          <w:iCs w:val="1"/>
          <w:sz w:val="24"/>
          <w:szCs w:val="24"/>
          <w:rtl w:val="0"/>
        </w:rPr>
        <w:t xml:space="preserve">a estrecha relación de las comunidades indígenas con su territorio tiene en general un componente esencial de identificación cultural basado en sus propias cosmovisiones, que como actores sociales y políticos diferenciados en sociedades multiculturales deben ser especialmente reconocidos y respetados en una sociedad democrática. El reconocimiento del derecho a la consulta de las comunidades y pueblos indígenas y tribales está cimentado, entre otros, en el respeto a sus derechos a la cultura propia o identidad cultural, los cuales deben ser garantizados, particularmente, en una sociedad pluralista, multicultural y democrática. Es por todo lo anterior que una de las garantías fundamentales para garantizar la participación de los pueblos y comunidades indígenas en las decisiones relativas a medidas que afecten sus derechos, y en particular su derecho a la propiedad comunal, es justamente el reconocimiento de su derecho a la consulta, el cual está reconocido en el Convenio Nº 169 de la OIT, entre otros instrumentos internacionales complementarios</w:t>
      </w:r>
      <w:r w:rsidDel="00000000" w:rsidR="00000000" w:rsidRPr="00000000">
        <w:rPr>
          <w:rFonts w:ascii="Arial" w:cs="Arial" w:eastAsia="Arial" w:hAnsi="Arial"/>
          <w:i w:val="1"/>
          <w:iCs w:val="1"/>
          <w:color w:val="000000"/>
          <w:sz w:val="24"/>
          <w:szCs w:val="24"/>
          <w:rtl w:val="0"/>
        </w:rPr>
        <w:t xml:space="preserve"> ha sostenido que las consultas deberán efectuarse cuando se trate de decisiones relacionadas a asuntos que conciernan a sus intereses, es decir, que afecten sus derechos reconocidos en la normatividad interna e internacional. El derecho a la consulta previa de los pueblos y comunidades indígenas se traduce en determinados deberes de los Estados, los cuales deberán establecer las condiciones apropiadas para que los pueblos y comunidades puedan participar en los asuntos que les afecten e interesen directamente, llevando a cabo todos los actos necesarios para hacer efectivos plenamente sus derechos, pues tiene el propósito de asegurar sus derechos e intereses, así como su participación en asuntos que les conciernan”</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color w:val="000000"/>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BF">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Derivado de lo anterior, y tal como lo estableció el ombudsman nacional, “</w:t>
      </w:r>
      <w:r w:rsidDel="00000000" w:rsidR="00000000" w:rsidRPr="00000000">
        <w:rPr>
          <w:rFonts w:ascii="Arial" w:cs="Arial" w:eastAsia="Arial" w:hAnsi="Arial"/>
          <w:i w:val="1"/>
          <w:iCs w:val="1"/>
          <w:color w:val="000000"/>
          <w:sz w:val="24"/>
          <w:szCs w:val="24"/>
          <w:rtl w:val="0"/>
        </w:rPr>
        <w:t xml:space="preserve">las autoridades mexicanas, en el ámbito de sus competencias, están constreñidas a reconocer y garantizar a los pueblos y comunidades indígenas el derecho a la consulta previa mediante procedimientos pertinentes, previos, informados, de buena fe y a través de sus instituciones representativas, sobre las medidas legislativas o administrativas susceptibles de afectarles directamente, para que estos grupos sociales puedan decidir y controlar sus propias vidas e instituciones. En la medida en que se respete este derecho, el Estado podrá garantizar la autodeterminación de los pueblos y comunidades indígenas, esto es, la posibilidad de que dichas personas decidan todas las cuestiones concernientes a sus propias instituciones y organización política, económica, social y cultural, sin que existan injerencias o imposiciones unilaterales y arbitrarias por parte de las autoridades investidas de poder público. Efectivamente, tal y como lo ha sostenido la Corte Interamericana de Derechos Humanos, el derecho a la consulta de las comunidades y pueblos indígenas y tribales está cimentado, entre otros, en el respeto a sus derechos a la cultura propia o identidad cultural, los cuales deben ser garantizados, particularmente, en una sociedad pluralista, multicultural y democrática. Ello, en virtud de que su ejercicio e implementación constituye una de las garantías fundamentales para garantizar la participación de los pueblos y comunidades indígenas en las decisiones relativas a medidas que afecten sus derechos. Para que ese derecho sea verdaderamente efectivo, consulta debe desarrollarse según sus costumbres y tradiciones, y exige que el Estado brinde información necesaria, de manera tal que se implemente una comunicación constante entre las partes”.</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C0">
      <w:pPr>
        <w:spacing w:after="160" w:before="0" w:line="360" w:lineRule="auto"/>
        <w:ind w:left="0" w:right="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Sobre este particular, nuestro más Alto Tribunal ha expresado que e</w:t>
      </w:r>
      <w:r w:rsidDel="00000000" w:rsidR="00000000" w:rsidRPr="00000000">
        <w:rPr>
          <w:rFonts w:ascii="Arial" w:cs="Arial" w:eastAsia="Arial" w:hAnsi="Arial"/>
          <w:sz w:val="24"/>
          <w:szCs w:val="24"/>
          <w:rtl w:val="0"/>
        </w:rPr>
        <w:t xml:space="preserve">l Estado debe garantizar el derecho a la consulta previa, libre e informada de los pueblos y las comunidades indígenas antes de emitir cualquier acto que sea susceptible de afectar la región hidrológica de la cual se benefician, pues tal actuación puede repercutir en sus derechos al territorio indígena en relación con el uso preferente a sus recursos naturales, al agua y a un medio ambiente sano, tomando en cuenta el papel que tiene el agua no sólo para su subsistencia, sino también como parte de su patrimonio cultural y de sus tradiciones.</w:t>
      </w:r>
      <w:r w:rsidDel="00000000" w:rsidR="00000000" w:rsidRPr="00000000">
        <w:rPr>
          <w:rtl w:val="0"/>
        </w:rPr>
      </w:r>
    </w:p>
    <w:p w:rsidR="00000000" w:rsidDel="00000000" w:rsidP="00000000" w:rsidRDefault="00000000" w:rsidRPr="00000000" w14:paraId="000000C1">
      <w:pPr>
        <w:spacing w:after="160" w:before="0" w:line="360" w:lineRule="auto"/>
        <w:ind w:left="0" w:right="0" w:firstLine="0"/>
        <w:jc w:val="both"/>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Tal razonamiento descansa, a decir de la Corte, en el hecho de que, “</w:t>
      </w:r>
      <w:r w:rsidDel="00000000" w:rsidR="00000000" w:rsidRPr="00000000">
        <w:rPr>
          <w:rFonts w:ascii="Arial" w:cs="Arial" w:eastAsia="Arial" w:hAnsi="Arial"/>
          <w:i w:val="1"/>
          <w:iCs w:val="1"/>
          <w:sz w:val="24"/>
          <w:szCs w:val="24"/>
          <w:rtl w:val="0"/>
        </w:rPr>
        <w:t xml:space="preserve">conforme a lo dispuesto por el artículo 2o. de la Constitución Política de los Estados Unidos Mexicanos y por los diversos 6 y 7 del Convenio 169 sobre Pueblos Indígenas y Tribales en Países Independientes de la Organización Internacional del Trabajo, los pueblos y las comunidades indígenas tienen derecho a ser consultados. Esta consulta debe ser realizada mediante procedimientos culturalmente adecuados, informados y de buena fe, a través de sus representantes o autoridades tradicionales, antes de que los órganos estatales adopten cualquier acción o medida legislativa o administrativa susceptible de afectarles. </w:t>
      </w:r>
      <w:r w:rsidDel="00000000" w:rsidR="00000000" w:rsidRPr="00000000">
        <w:rPr>
          <w:rFonts w:ascii="Arial" w:cs="Arial" w:eastAsia="Arial" w:hAnsi="Arial"/>
          <w:i w:val="1"/>
          <w:iCs w:val="1"/>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C2">
      <w:pPr>
        <w:spacing w:after="160" w:before="0" w:line="360" w:lineRule="auto"/>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“Por lo tanto,” </w:t>
      </w:r>
      <w:r w:rsidDel="00000000" w:rsidR="00000000" w:rsidRPr="00000000">
        <w:rPr>
          <w:rFonts w:ascii="Arial" w:cs="Arial" w:eastAsia="Arial" w:hAnsi="Arial"/>
          <w:i w:val="0"/>
          <w:iCs w:val="0"/>
          <w:sz w:val="24"/>
          <w:szCs w:val="24"/>
          <w:rtl w:val="0"/>
        </w:rPr>
        <w:t xml:space="preserve">agrega la Corte, “</w:t>
      </w:r>
      <w:r w:rsidDel="00000000" w:rsidR="00000000" w:rsidRPr="00000000">
        <w:rPr>
          <w:rFonts w:ascii="Arial" w:cs="Arial" w:eastAsia="Arial" w:hAnsi="Arial"/>
          <w:i w:val="1"/>
          <w:iCs w:val="1"/>
          <w:sz w:val="24"/>
          <w:szCs w:val="24"/>
          <w:rtl w:val="0"/>
        </w:rPr>
        <w:t xml:space="preserve">antes de emitir cualquier acto estatal que pueda afectar la región hidrológica de la que se beneficia una comunidad indígena, como es el caso de las concesiones para utilizar o explotar industrialmente el agua, debe garantizarse su derecho a la consulta previa, libre e informada. Esto, tomando en cuenta que tales actos son susceptibles de afectar sus derechos al territorio indígena, en relación con el uso preferente de los recursos naturales, atendiendo a la especial importancia que tiene la tierra para su cultura, su desarrollo y sus valores espirituales, por ser parte intrínseca de sus tradiciones y de su patrimonio cultural, así como el derecho al agua y a un medio ambiente sano, ante la probable afectación de dicho recurso natural que es fundamental para la vida y la salud de la comunidad.”</w:t>
      </w:r>
    </w:p>
    <w:p w:rsidR="00000000" w:rsidDel="00000000" w:rsidP="00000000" w:rsidRDefault="00000000" w:rsidRPr="00000000" w14:paraId="000000C3">
      <w:pPr>
        <w:spacing w:after="16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caso concreto de los recursos hídricos a cargo de las comunidades, la misma Corte señaló que </w:t>
      </w:r>
      <w:r w:rsidDel="00000000" w:rsidR="00000000" w:rsidRPr="00000000">
        <w:rPr>
          <w:rFonts w:ascii="Arial" w:cs="Arial" w:eastAsia="Arial" w:hAnsi="Arial"/>
          <w:i w:val="1"/>
          <w:iCs w:val="1"/>
          <w:sz w:val="24"/>
          <w:szCs w:val="24"/>
          <w:rtl w:val="0"/>
        </w:rPr>
        <w:t xml:space="preserve">“los permisos para explotar industrialmente el agua sin limitaciones pueden afectar la manera en la que se conservan, se cuidan y se aprovechan los recursos de los ríos impactando no sólo en las actividades diarias de subsistencia de las comunidades, sino también en la manera en la que ejercen su vida espiritual. Lo anterior, pues para los pueblos y las comunidades indígenas, la naturaleza es parte importante en el desarrollo de su cultura, de su cosmovisión, de sus creencias, de su patrimonio y de su identidad colectiva, debido a sus conocimientos y prácticas tradicionales.”</w:t>
      </w:r>
      <w:r w:rsidDel="00000000" w:rsidR="00000000" w:rsidRPr="00000000">
        <w:rPr>
          <w:rtl w:val="0"/>
        </w:rPr>
      </w:r>
    </w:p>
    <w:p w:rsidR="00000000" w:rsidDel="00000000" w:rsidP="00000000" w:rsidRDefault="00000000" w:rsidRPr="00000000" w14:paraId="000000C4">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Sobre este particular, la Comisión Nacional de los Derechos Humanos ha señalado, a partir de </w:t>
      </w:r>
      <w:r w:rsidDel="00000000" w:rsidR="00000000" w:rsidRPr="00000000">
        <w:rPr>
          <w:rFonts w:ascii="Arial" w:cs="Arial" w:eastAsia="Arial" w:hAnsi="Arial"/>
          <w:sz w:val="24"/>
          <w:szCs w:val="24"/>
          <w:rtl w:val="0"/>
        </w:rPr>
        <w:t xml:space="preserve">la tesis aislada 2ª. XXIX/2016 (10a.), publicada en el Semanario Judicial de la Federación y su Gaceta, materia constitucional, junio de 2016, Libro 31, Tomo II, pág. 1212, del rubro y texto siguientes: “PUEBLOS Y COMUNIDADES INDÍGENAS. DERECHO A SER CONSULTADOS. REQUISITOS ESENCIALES PARA SU CUMPLIMIENTO, </w:t>
      </w:r>
      <w:r w:rsidDel="00000000" w:rsidR="00000000" w:rsidRPr="00000000">
        <w:rPr>
          <w:rFonts w:ascii="Arial" w:cs="Arial" w:eastAsia="Arial" w:hAnsi="Arial"/>
          <w:color w:val="000000"/>
          <w:sz w:val="24"/>
          <w:szCs w:val="24"/>
          <w:rtl w:val="0"/>
        </w:rPr>
        <w:t xml:space="preserve">que las consultas, para ser consideradas como válidas, deben reunir los siguientes requisitos: </w:t>
      </w:r>
      <w:r w:rsidDel="00000000" w:rsidR="00000000" w:rsidRPr="00000000">
        <w:rPr>
          <w:rtl w:val="0"/>
        </w:rPr>
      </w:r>
    </w:p>
    <w:p w:rsidR="00000000" w:rsidDel="00000000" w:rsidP="00000000" w:rsidRDefault="00000000" w:rsidRPr="00000000" w14:paraId="000000C5">
      <w:pPr>
        <w:spacing w:after="160" w:before="0" w:line="360" w:lineRule="auto"/>
        <w:ind w:left="0" w:right="0" w:firstLine="0"/>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“a. La consulta debe ser con carácter previo. Debe realizarse durante las primeras etapas de la medida, el plan o proyecto de desarrollo o inversión o de la concesión extractiva –esto es, de la medida estatal que se quiera tomar– y no únicamente cuando surja la necesidad de obtener la aprobación de la comunidad. Dichas consultas no deben ser restringidas a propuestas. </w:t>
      </w:r>
    </w:p>
    <w:p w:rsidR="00000000" w:rsidDel="00000000" w:rsidP="00000000" w:rsidRDefault="00000000" w:rsidRPr="00000000" w14:paraId="000000C6">
      <w:pPr>
        <w:spacing w:after="160" w:before="0" w:line="360" w:lineRule="auto"/>
        <w:ind w:left="0" w:right="0" w:firstLine="0"/>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b. La consulta debe ser culturalmente adecuada. El deber estatal de consultar a los pueblos indígenas debe cumplirse de acuerdo con sus costumbres y tradiciones, a través de procedimientos culturalmente adecuados y teniendo en cuenta sus métodos tradicionales para la toma de decisiones. Lo anterior exige que la representación de los pueblos sea definida de conformidad con sus propias tradiciones. </w:t>
      </w:r>
    </w:p>
    <w:p w:rsidR="00000000" w:rsidDel="00000000" w:rsidP="00000000" w:rsidRDefault="00000000" w:rsidRPr="00000000" w14:paraId="000000C7">
      <w:pPr>
        <w:spacing w:after="160" w:before="0" w:line="360" w:lineRule="auto"/>
        <w:ind w:left="0" w:right="0" w:firstLine="0"/>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c. La consulta debe ser informada. Los procesos de consulta exigen la provisión plena de información precisa sobre la naturaleza y consecuencias de la medida de que se trate a las comunidades consultadas, antes de y durante la consulta. Debe buscarse que tengan conocimiento de los posibles riesgos y consecuencias, a fin de que puedan decidir respecto de la medida a implementar de forma voluntaria, o bien, cualquier otro tipo de acto administrativo o legislación de que se trate. </w:t>
      </w:r>
    </w:p>
    <w:p w:rsidR="00000000" w:rsidDel="00000000" w:rsidP="00000000" w:rsidRDefault="00000000" w:rsidRPr="00000000" w14:paraId="000000C8">
      <w:pPr>
        <w:spacing w:after="160" w:before="0" w:line="360" w:lineRule="auto"/>
        <w:ind w:left="0" w:right="0" w:firstLine="0"/>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d. La consulta debe ser de buena fe, con la finalidad de llegar a un acuerdo. Se debe garantizar, a través de procedimientos claros de consulta, que se obtenga su consentimiento previo, libre e informado para la consecución de los proyectos que correspondan. Es inherente a toda consulta con comunidades indígenas, el establecimiento de un clima de confianza mutua y la buena fe exige la ausencia de cualquier tipo de coerción por parte del Estado o de agentes o terceros que actúan con su autorización o aquiescencia. </w:t>
      </w:r>
    </w:p>
    <w:p w:rsidR="00000000" w:rsidDel="00000000" w:rsidP="00000000" w:rsidRDefault="00000000" w:rsidRPr="00000000" w14:paraId="000000C9">
      <w:pPr>
        <w:spacing w:after="160" w:before="0" w:line="360" w:lineRule="auto"/>
        <w:ind w:left="0" w:right="0" w:firstLine="0"/>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Adicionalmente, la misma consulta de buena fe es incompatible con prácticas tales como los intentos de desintegración de la cohesión social de las comunidades afectadas, sea a través de la corrupción de los líderes comunales o del establecimiento de liderazgos paralelos, o por medio de negociaciones con miembros individuales de las comunidades que son contrarias a los estándares internacionales. La obligación del Estado es asegurar que todo proyecto en área indígena o que afecte su hábitat o cultura, sea tramitado y decidido con participación y en consulta con los pueblos interesados con vistas a obtener su consentimiento y eventual participación en los beneficios.” </w:t>
      </w:r>
      <w:r w:rsidDel="00000000" w:rsidR="00000000" w:rsidRPr="00000000">
        <w:rPr>
          <w:rFonts w:ascii="Arial" w:cs="Arial" w:eastAsia="Arial" w:hAnsi="Arial"/>
          <w:i w:val="1"/>
          <w:iCs w:val="1"/>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CA">
      <w:pPr>
        <w:spacing w:after="160" w:before="0" w:line="360" w:lineRule="auto"/>
        <w:ind w:left="0" w:right="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adición a lo anterior vale la pena traer a cuento la resolución emitida por la Suprema Corte con relación a la controversia constitucional 32/2012, promovida por integrantes del Concejo Mayor del Gobierno Comunal y representantes del Municipio de Cherán, Michoacán, quienes demandaron la invalidez de la reforma a la Constitución del Estado Libre y Soberano de Michoacán de Ocampo, publicada el 16 de marzo 22 de 2012, al estimar que se violó su derecho a ser consultados. En esa ocasión, y como bien lo recordó la Comisión Nacional de los Derechos Humanos, nuestro más Alto Tribunal arribó a las siguientes conclusiones: </w:t>
      </w:r>
    </w:p>
    <w:p w:rsidR="00000000" w:rsidDel="00000000" w:rsidP="00000000" w:rsidRDefault="00000000" w:rsidRPr="00000000" w14:paraId="000000CB">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i w:val="1"/>
          <w:iCs w:val="1"/>
          <w:color w:val="000000"/>
          <w:sz w:val="24"/>
          <w:szCs w:val="24"/>
          <w:rtl w:val="0"/>
        </w:rPr>
        <w:t xml:space="preserve">• Aunque la Constitución Federal no contempla la necesidad de que los órganos legislativos abran períodos de consulta, el artículo 6, punto 1, inciso a), del Convenio 169 de la OIT vincula a las legislaturas a prever una fase adicional en el proceso de creación de leyes para consultar a los representantes de la población indígena cuando un cambio legislativo pueda afectarlos directamente. </w:t>
      </w:r>
      <w:r w:rsidDel="00000000" w:rsidR="00000000" w:rsidRPr="00000000">
        <w:rPr>
          <w:rtl w:val="0"/>
        </w:rPr>
      </w:r>
    </w:p>
    <w:p w:rsidR="00000000" w:rsidDel="00000000" w:rsidP="00000000" w:rsidRDefault="00000000" w:rsidRPr="00000000" w14:paraId="000000CC">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i w:val="1"/>
          <w:iCs w:val="1"/>
          <w:color w:val="000000"/>
          <w:sz w:val="24"/>
          <w:szCs w:val="24"/>
          <w:rtl w:val="0"/>
        </w:rPr>
        <w:t xml:space="preserve">• Determinó que los “foros de consulta” organizados por el Poder Legislativo en esa ocasión fueron llevados a cabo sin el quórum suficiente y sin cumplir con el objetivo auténtico de consultarles. </w:t>
      </w:r>
      <w:r w:rsidDel="00000000" w:rsidR="00000000" w:rsidRPr="00000000">
        <w:rPr>
          <w:rtl w:val="0"/>
        </w:rPr>
      </w:r>
    </w:p>
    <w:p w:rsidR="00000000" w:rsidDel="00000000" w:rsidP="00000000" w:rsidRDefault="00000000" w:rsidRPr="00000000" w14:paraId="000000CD">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i w:val="1"/>
          <w:iCs w:val="1"/>
          <w:color w:val="000000"/>
          <w:sz w:val="24"/>
          <w:szCs w:val="24"/>
          <w:rtl w:val="0"/>
        </w:rPr>
        <w:t xml:space="preserve">• No existía constancia en el proceso legislativo que el Municipio de Cherán hubiera sido consultado previamente, mediante un procedimiento adecuado y de buena fe, a través de las instituciones que lo representan. Por otro lado, el Pleno de ese Alto Tribunal, al resolver la acción de inconstitucionalidad 83/2015 y sus acumuladas 86/2015, 91/2015 y 98/2015,12 así como al fallar la diversa 84/2016,13 refirió que el parámetro objetivo para determinar los casos en que las autoridades legislativas deben llevar a cabo procedimientos de consulta indígena debe atender a que la actividad del Estado tenga relación con los intereses y derechos de los grupos indígenas involucrados. </w:t>
      </w:r>
      <w:r w:rsidDel="00000000" w:rsidR="00000000" w:rsidRPr="00000000">
        <w:rPr>
          <w:rtl w:val="0"/>
        </w:rPr>
      </w:r>
    </w:p>
    <w:p w:rsidR="00000000" w:rsidDel="00000000" w:rsidP="00000000" w:rsidRDefault="00000000" w:rsidRPr="00000000" w14:paraId="000000CE">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i w:val="1"/>
          <w:iCs w:val="1"/>
          <w:color w:val="000000"/>
          <w:sz w:val="24"/>
          <w:szCs w:val="24"/>
          <w:rtl w:val="0"/>
        </w:rPr>
        <w:t xml:space="preserve">• Respecto a las medidas legislativas que regulan aspectos que atañen directamente a los pueblos indígenas, existe la obligación del Congreso correspondiente de consultar directamente a dichos pueblos previo a la emisión de la norma impugnada. En el mismo sentido, al resolver la acción de inconstitucionalidad 31/2014,14 ese Supremo Tribunal recordó que: </w:t>
      </w:r>
      <w:r w:rsidDel="00000000" w:rsidR="00000000" w:rsidRPr="00000000">
        <w:rPr>
          <w:rtl w:val="0"/>
        </w:rPr>
      </w:r>
    </w:p>
    <w:p w:rsidR="00000000" w:rsidDel="00000000" w:rsidP="00000000" w:rsidRDefault="00000000" w:rsidRPr="00000000" w14:paraId="000000CF">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i w:val="1"/>
          <w:iCs w:val="1"/>
          <w:color w:val="000000"/>
          <w:sz w:val="24"/>
          <w:szCs w:val="24"/>
          <w:rtl w:val="0"/>
        </w:rPr>
        <w:t xml:space="preserve">• Si bien la Constitución Federal no contempla la necesidad de que los órganos legislativos abran períodos de consulta dentro de sus procesos legislativos, los artículos 6 y 7 del Convenio 169 de la OIT sobre Pueblos Indígenas y Tribales en Países Independientes sí establecen tal prerrogativa en favor de las comunidades indígenas. </w:t>
      </w:r>
      <w:r w:rsidDel="00000000" w:rsidR="00000000" w:rsidRPr="00000000">
        <w:rPr>
          <w:rtl w:val="0"/>
        </w:rPr>
      </w:r>
    </w:p>
    <w:p w:rsidR="00000000" w:rsidDel="00000000" w:rsidP="00000000" w:rsidRDefault="00000000" w:rsidRPr="00000000" w14:paraId="000000D0">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i w:val="1"/>
          <w:iCs w:val="1"/>
          <w:color w:val="000000"/>
          <w:sz w:val="24"/>
          <w:szCs w:val="24"/>
          <w:rtl w:val="0"/>
        </w:rPr>
        <w:t xml:space="preserve">• Por tanto, en respeto a ello y a lo dispuesto en el artículo 1° constitucional, las legislaturas tienen el deber de prever una fase adicional en el proceso de creación de las leyes para consultar a los representantes de ese sector de la población cuando se trate de medidas legislativas susceptibles de afectarles directamente.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D1">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Por otra parte, la CNDH al acudir ante la Suprema Corte de Justicia de la Nación, recordó el sentido de la resolución dictada por esa instancia en el amparo en revisión 631/2012, la cual, entre sus consideraciones incluyó que el deber por parte del Estado de consultar a los pueblos y comunidades indígenas no depende de la demostración de una afectación real a sus derechos, sino de la susceptibilidad de que se puedan llegar a dañarse, pues precisamente uno de los objetos del procedimiento es determinar si los intereses de los pueblos indígenas serían perjudicados. </w:t>
      </w:r>
      <w:r w:rsidDel="00000000" w:rsidR="00000000" w:rsidRPr="00000000">
        <w:rPr>
          <w:rtl w:val="0"/>
        </w:rPr>
      </w:r>
    </w:p>
    <w:p w:rsidR="00000000" w:rsidDel="00000000" w:rsidP="00000000" w:rsidRDefault="00000000" w:rsidRPr="00000000" w14:paraId="000000D2">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En ese mismo sentido, la CNDH afirmó que la Segunda Sala de ese Máximo Tribunal del país sostuvo, al resolver el amparo en revisión 499/2015, que el derecho de los pueblos y comunidades indígenas a ser consultadas constituye una prerrogativa necesaria para salvaguardar la libre determinación de los pueblos, así como los demás derechos culturales y patrimoniales ancestrales que la Constitución y los tratados internacionales les reconocen, permitiéndoles participar de forma activa y constante en los asuntos políticos del Estado. Asimismo, representa una obligación frente al Estado en el sentido de llevar a cabo todos los actos necesarios para proveer a dichos grupos de los medios idóneos y necesarios para garantizar plenamente sus derechos. </w:t>
      </w:r>
      <w:r w:rsidDel="00000000" w:rsidR="00000000" w:rsidRPr="00000000">
        <w:rPr>
          <w:rtl w:val="0"/>
        </w:rPr>
      </w:r>
    </w:p>
    <w:p w:rsidR="00000000" w:rsidDel="00000000" w:rsidP="00000000" w:rsidRDefault="00000000" w:rsidRPr="00000000" w14:paraId="000000D3">
      <w:pPr>
        <w:spacing w:after="160" w:before="0" w:line="360" w:lineRule="auto"/>
        <w:ind w:left="0" w:right="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Partiendo de la idea de que las consultas deben llevarse a cabo sólo en aquellos casos en que la actividad del Estado pueda causar impactos significativos en la vida o entorno de los grupos indígenas por virtud de una decisión estatal, queda por establecer si el acto impugnado puede causar esta clase de impactos. </w:t>
      </w:r>
    </w:p>
    <w:p w:rsidR="00000000" w:rsidDel="00000000" w:rsidP="00000000" w:rsidRDefault="00000000" w:rsidRPr="00000000" w14:paraId="000000D4">
      <w:pPr>
        <w:spacing w:after="160" w:before="0" w:line="360" w:lineRule="auto"/>
        <w:ind w:left="0" w:right="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el caso que nos ocupa, el Congreso de la Unión fue omiso en efectuar la consulta indígena a la que se viene haciendo referencia, la cual debió haber practicado de conformidad con los estándares y parámetros desarrollados. No obsta a lo anterior el hecho de que, mediante acuerdo de fecha 5 de noviembre de 2025, la Comisión de Recursos Hidráulicos, Agua Potable y Saneamiento de la Cámara de Diputados, haya emitido una convocatoria </w:t>
      </w:r>
      <w:r w:rsidDel="00000000" w:rsidR="00000000" w:rsidRPr="00000000">
        <w:rPr>
          <w:rFonts w:ascii="Arial" w:cs="Arial" w:eastAsia="Arial" w:hAnsi="Arial"/>
          <w:sz w:val="24"/>
          <w:szCs w:val="24"/>
          <w:rtl w:val="0"/>
        </w:rPr>
        <w:t xml:space="preserve">participar en las Audiencias Públicas sobre la Iniciativa del Ejecutivo Federal con proyecto de decreto por el que se expide la Ley General de Aguas, y se reforman, derogan y adicionan diversas disposiciones de la Ley de Aguas Nacionales que se llevaron a cabo los días 11, 12, 13 y 14 de noviembre de 2025, lo anterior en virtud de que tal convocatoria no se ajustó a los parámetros ya señalados con anterioridad. </w:t>
      </w:r>
      <w:r w:rsidDel="00000000" w:rsidR="00000000" w:rsidRPr="00000000">
        <w:rPr>
          <w:rtl w:val="0"/>
        </w:rPr>
      </w:r>
    </w:p>
    <w:p w:rsidR="00000000" w:rsidDel="00000000" w:rsidP="00000000" w:rsidRDefault="00000000" w:rsidRPr="00000000" w14:paraId="000000D5">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 anterior se afirma, toda vez que la convocatoria de la Cámara fue dirigida, como se desprende de su base tercera, ésta fue dirigida a “</w:t>
      </w:r>
      <w:r w:rsidDel="00000000" w:rsidR="00000000" w:rsidRPr="00000000">
        <w:rPr>
          <w:rFonts w:ascii="Arial" w:cs="Arial" w:eastAsia="Arial" w:hAnsi="Arial"/>
          <w:i w:val="1"/>
          <w:iCs w:val="1"/>
          <w:sz w:val="24"/>
          <w:szCs w:val="24"/>
          <w:rtl w:val="0"/>
        </w:rPr>
        <w:t xml:space="preserve">representantes populares, especialistas, académicas, funcionarias públicas, defensoras de derechos humanos; representantes de ejidos, distritos de riego, organismos operadores de agua potable y saneamiento, instituciones, asociaciones, organizaciones sociales, pueblos y comunidades indígenas y afromexicanas, organizaciones no gubernamentales, cámaras empresariales, consejos, contralorías sociales, así como ciudadanía en general, interesadas en el tema hídrico en México, para fortalecer el proceso de dictaminación”</w:t>
      </w:r>
      <w:r w:rsidDel="00000000" w:rsidR="00000000" w:rsidRPr="00000000">
        <w:rPr>
          <w:rFonts w:ascii="Arial" w:cs="Arial" w:eastAsia="Arial" w:hAnsi="Arial"/>
          <w:sz w:val="24"/>
          <w:szCs w:val="24"/>
          <w:rtl w:val="0"/>
        </w:rPr>
        <w:t xml:space="preserve">. Es decir, el espacio de discusión fue generado para para una multiplicidad de actores, más no de forma exclusiva para los representantes de las comunidades, cuyas inquietudes y aportaciones sólo fueron unas de tantas en medio de la enorme variedad de personas llamadas a debatir el tema. </w:t>
      </w:r>
    </w:p>
    <w:p w:rsidR="00000000" w:rsidDel="00000000" w:rsidP="00000000" w:rsidRDefault="00000000" w:rsidRPr="00000000" w14:paraId="000000D6">
      <w:pPr>
        <w:spacing w:after="160" w:before="0" w:line="360" w:lineRule="auto"/>
        <w:ind w:left="0" w:right="0" w:firstLine="0"/>
        <w:jc w:val="both"/>
        <w:rPr>
          <w:rFonts w:ascii="Arial" w:cs="Arial" w:eastAsia="Arial" w:hAnsi="Arial"/>
          <w:i w:val="0"/>
          <w:iCs w:val="0"/>
          <w:sz w:val="24"/>
          <w:szCs w:val="24"/>
        </w:rPr>
      </w:pPr>
      <w:r w:rsidDel="00000000" w:rsidR="00000000" w:rsidRPr="00000000">
        <w:rPr>
          <w:rFonts w:ascii="Arial" w:cs="Arial" w:eastAsia="Arial" w:hAnsi="Arial"/>
          <w:color w:val="000000"/>
          <w:sz w:val="24"/>
          <w:szCs w:val="24"/>
          <w:rtl w:val="0"/>
        </w:rPr>
        <w:t xml:space="preserve">Aunado a lo anterior, tal convocatoria distó de cumplir con los parámetros establecidos para tener como válida una consulta. En efecto, y tal como quedó señalado en páginas anteriores, las consultas deben ser previas, culturalmente adecuadas, informadas y de buena fe, sólo que en el presente caso no se trató de un ejercicio culturalmente adecuado ni mucho menos informado, ello en virtud de que </w:t>
      </w:r>
      <w:r w:rsidDel="00000000" w:rsidR="00000000" w:rsidRPr="00000000">
        <w:rPr>
          <w:rFonts w:ascii="Arial" w:cs="Arial" w:eastAsia="Arial" w:hAnsi="Arial"/>
          <w:i w:val="0"/>
          <w:iCs w:val="0"/>
          <w:color w:val="000000"/>
          <w:sz w:val="24"/>
          <w:szCs w:val="24"/>
          <w:rtl w:val="0"/>
        </w:rPr>
        <w:t xml:space="preserve">e</w:t>
      </w:r>
      <w:r w:rsidDel="00000000" w:rsidR="00000000" w:rsidRPr="00000000">
        <w:rPr>
          <w:rFonts w:ascii="Arial" w:cs="Arial" w:eastAsia="Arial" w:hAnsi="Arial"/>
          <w:i w:val="0"/>
          <w:iCs w:val="0"/>
          <w:sz w:val="24"/>
          <w:szCs w:val="24"/>
          <w:rtl w:val="0"/>
        </w:rPr>
        <w:t xml:space="preserve">l deber estatal de consultar a los pueblos indígenas no se ajustó a las costumbres y tradiciones de los pueblos originarios, ni se realizó a través de procedimientos culturalmente adecuados, dejando de tomar en consideración los métodos tradicionales para la toma de decisiones. De haberse obrado en este sentido, la representación de los pueblos habría sido definida de conformidad con sus propias tradiciones y es el caso que se trató de un ejercicio con reglas idénticas para actores de naturaleza diversa, faltándose así el principio de tratar igual a los iguales y desigual a los desiguales. Tal situación redunda en el hecho de que se metió en un mismo saco a actores de diversa índole, obviando las características propias de las comunidades indígenas, a partir de las cuales éstas definen su sentido de pertenencia, normatividad interna y relación que guardan con el resto del conglomerado social. </w:t>
      </w:r>
    </w:p>
    <w:p w:rsidR="00000000" w:rsidDel="00000000" w:rsidP="00000000" w:rsidRDefault="00000000" w:rsidRPr="00000000" w14:paraId="000000D7">
      <w:pPr>
        <w:spacing w:after="160" w:before="0" w:line="360" w:lineRule="auto"/>
        <w:ind w:left="0" w:right="0" w:firstLine="0"/>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La convocatoria realizada por la Cámara de Diputados también adoleció del requisito de ser informada, en virtud de que la comisión dictaminadora convocante no ofreció la información precisa sobre la naturaleza y consecuencias de la iniciativa a los ciudadanos convocados, antes y durante la consulta, ni tampoco se precisaron los posibles riesgos y consecuencias de su aprobación, sino que sólo se abrió un espacio para que una multiplicad de ciudadanos se expresara sobre el particular, sin más elementos de juicio que la iniciativa con proyecto de decreto, lo que convirtió esto en un espacio para el desahogo personal, más no en un lugar propicio para el intercambio de opiniones, omitiendo así el gobierno federal ser más prolijo en cuanto a las virtudes y alcances del documento presentado ante el Congreso por la titular del Poder Ejecutivo. </w:t>
      </w:r>
    </w:p>
    <w:p w:rsidR="00000000" w:rsidDel="00000000" w:rsidP="00000000" w:rsidRDefault="00000000" w:rsidRPr="00000000" w14:paraId="000000D8">
      <w:pPr>
        <w:spacing w:after="160" w:before="0" w:line="360" w:lineRule="auto"/>
        <w:ind w:left="0" w:right="0" w:firstLine="0"/>
        <w:jc w:val="both"/>
        <w:rPr>
          <w:rFonts w:ascii="Arial" w:cs="Arial" w:eastAsia="Arial" w:hAnsi="Arial"/>
          <w:i w:val="0"/>
          <w:iCs w:val="0"/>
          <w:sz w:val="24"/>
          <w:szCs w:val="24"/>
        </w:rPr>
      </w:pPr>
      <w:r w:rsidDel="00000000" w:rsidR="00000000" w:rsidRPr="00000000">
        <w:rPr>
          <w:rFonts w:ascii="Arial" w:cs="Arial" w:eastAsia="Arial" w:hAnsi="Arial"/>
          <w:i w:val="0"/>
          <w:iCs w:val="0"/>
          <w:sz w:val="24"/>
          <w:szCs w:val="24"/>
          <w:rtl w:val="0"/>
        </w:rPr>
        <w:t xml:space="preserve">Lejos de esta clase de ejercicios, lo que se necesitaba era una consulta directa a las comunidades que satisficiera los requisitos de procedibilidad establecidos en la Constitución, el Convenio 169 y la jurisprudencia de la Corte y al no haber tenido verificativo esto en el caso que nos ocupa, las normas reclamadas devienen en inconstitucionales. </w:t>
      </w:r>
    </w:p>
    <w:p w:rsidR="00000000" w:rsidDel="00000000" w:rsidP="00000000" w:rsidRDefault="00000000" w:rsidRPr="00000000" w14:paraId="000000D9">
      <w:pPr>
        <w:spacing w:after="160" w:before="0" w:line="360" w:lineRule="auto"/>
        <w:ind w:left="0" w:right="0" w:firstLine="0"/>
        <w:jc w:val="both"/>
        <w:rPr>
          <w:rFonts w:ascii="Arial" w:cs="Arial" w:eastAsia="Arial" w:hAnsi="Arial"/>
          <w:i w:val="0"/>
          <w:iCs w:val="0"/>
          <w:color w:val="000000"/>
          <w:sz w:val="24"/>
          <w:szCs w:val="24"/>
        </w:rPr>
      </w:pPr>
      <w:r w:rsidDel="00000000" w:rsidR="00000000" w:rsidRPr="00000000">
        <w:rPr>
          <w:rFonts w:ascii="Arial" w:cs="Arial" w:eastAsia="Arial" w:hAnsi="Arial"/>
          <w:i w:val="0"/>
          <w:iCs w:val="0"/>
          <w:sz w:val="24"/>
          <w:szCs w:val="24"/>
          <w:rtl w:val="0"/>
        </w:rPr>
        <w:t xml:space="preserve">La necesidad de una consulta en este caso se confirma a partir de la idea de que las normas tildadas de inconstitucionales establecen diversas disposiciones tendientes a:</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45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Reconocer a los sistemas comunitarios de agua y saneamiento que se ubican en aquellas zonas que no estén incluidas dentro del área de operación de los servicios municipales de agua y saneamiento, intermunicipales o metropolitanos para brindar y gestionar el servicio de agua potable y, en su caso, tratamiento de aguas residuales, así como aquellos que se constituyan en apego a sus sistemas normativos.</w:t>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45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Establecer que los sistemas comunitarios sólo podrán prestar los servicios de agua y saneamiento para uso personal y doméstico, sin fines de lucro.</w:t>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45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Señalar que la operación de cada sistema comunitario se regulará según lo determinen las leyes que al respecto se emitan por parte de las legislaturas de las entidades federativas, y</w:t>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01" w:before="0" w:line="360" w:lineRule="auto"/>
        <w:ind w:left="720" w:right="45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Estipular que los sistemas comunitarios de agua y saneamiento, y los servicios de agua para actividades productivas, administrados por los pueblos y comunidades indígenas y afromexicanas, serán regulados por la ley general reglamentaria del artículo 2o. de la Constitución Política de los Estados Unidos Mexicanos.</w:t>
      </w:r>
    </w:p>
    <w:p w:rsidR="00000000" w:rsidDel="00000000" w:rsidP="00000000" w:rsidRDefault="00000000" w:rsidRPr="00000000" w14:paraId="000000DE">
      <w:pPr>
        <w:spacing w:after="160" w:before="0" w:line="360" w:lineRule="auto"/>
        <w:ind w:left="0" w:right="0" w:firstLine="0"/>
        <w:jc w:val="both"/>
        <w:rPr>
          <w:rFonts w:ascii="Arial" w:cs="Arial" w:eastAsia="Arial" w:hAnsi="Arial"/>
          <w:i w:val="0"/>
          <w:iCs w:val="0"/>
          <w:color w:val="000000"/>
          <w:sz w:val="24"/>
          <w:szCs w:val="24"/>
        </w:rPr>
      </w:pPr>
      <w:r w:rsidDel="00000000" w:rsidR="00000000" w:rsidRPr="00000000">
        <w:rPr>
          <w:rtl w:val="0"/>
        </w:rPr>
      </w:r>
    </w:p>
    <w:p w:rsidR="00000000" w:rsidDel="00000000" w:rsidP="00000000" w:rsidRDefault="00000000" w:rsidRPr="00000000" w14:paraId="000000DF">
      <w:pPr>
        <w:spacing w:after="160" w:before="0" w:line="360" w:lineRule="auto"/>
        <w:ind w:left="0" w:right="0" w:firstLine="0"/>
        <w:jc w:val="both"/>
        <w:rPr>
          <w:rFonts w:ascii="Arial" w:cs="Arial" w:eastAsia="Arial" w:hAnsi="Arial"/>
          <w:b w:val="0"/>
          <w:bCs w:val="0"/>
          <w:i w:val="0"/>
          <w:iCs w:val="0"/>
          <w:smallCaps w:val="0"/>
          <w:color w:val="000000"/>
          <w:sz w:val="24"/>
          <w:szCs w:val="24"/>
        </w:rPr>
      </w:pPr>
      <w:r w:rsidDel="00000000" w:rsidR="00000000" w:rsidRPr="00000000">
        <w:rPr>
          <w:rFonts w:ascii="Arial" w:cs="Arial" w:eastAsia="Arial" w:hAnsi="Arial"/>
          <w:color w:val="000000"/>
          <w:sz w:val="24"/>
          <w:szCs w:val="24"/>
          <w:rtl w:val="0"/>
        </w:rPr>
        <w:t xml:space="preserve">Tales normas, al establecer límites sobre la forma en que habrán de regirse los sistemas comunitarios de agua y saneamiento y los servicios de agua para actividades productivas, administrados por los pueblos y comunidades indígenas y afromexicanas, son susceptibles de afectar a las comunidades, máxime que una de estas normas previene una limitación en el sentido de que </w:t>
      </w:r>
      <w:r w:rsidDel="00000000" w:rsidR="00000000" w:rsidRPr="00000000">
        <w:rPr>
          <w:rFonts w:ascii="Arial" w:cs="Arial" w:eastAsia="Arial" w:hAnsi="Arial"/>
          <w:b w:val="0"/>
          <w:bCs w:val="0"/>
          <w:i w:val="0"/>
          <w:iCs w:val="0"/>
          <w:smallCaps w:val="0"/>
          <w:color w:val="000000"/>
          <w:sz w:val="24"/>
          <w:szCs w:val="24"/>
          <w:rtl w:val="0"/>
        </w:rPr>
        <w:t xml:space="preserve">los sistemas comunitarios sólo podrán prestar los servicios de agua y saneamiento para uso personal y doméstico, sin fines de lucro. Como ya fue señalado, no hace falta que tal afectación sea real e inminente, sino que únicamente basta para ser sometida a consulta el hecho de que esté prevista en la ley, situación que tiene verificativo en la especie, razón que se estima suficiente para </w:t>
      </w:r>
      <w:r w:rsidDel="00000000" w:rsidR="00000000" w:rsidRPr="00000000">
        <w:rPr>
          <w:rFonts w:ascii="Arial" w:cs="Arial" w:eastAsia="Arial" w:hAnsi="Arial"/>
          <w:color w:val="000000"/>
          <w:sz w:val="24"/>
          <w:szCs w:val="24"/>
          <w:rtl w:val="0"/>
        </w:rPr>
        <w:t xml:space="preserve">realizar una consulta indígena de conformidad con los estándares internacionales y nacionales en la materia. </w:t>
      </w:r>
      <w:r w:rsidDel="00000000" w:rsidR="00000000" w:rsidRPr="00000000">
        <w:rPr>
          <w:rtl w:val="0"/>
        </w:rPr>
      </w:r>
    </w:p>
    <w:p w:rsidR="00000000" w:rsidDel="00000000" w:rsidP="00000000" w:rsidRDefault="00000000" w:rsidRPr="00000000" w14:paraId="000000E0">
      <w:pPr>
        <w:spacing w:after="160" w:before="0" w:line="360" w:lineRule="auto"/>
        <w:ind w:left="0" w:right="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lo tanto, es dable concluir que en el proceso legislativo del cual devino la emisión de los artículos 40 a 43 de la Ley General de Aguas resulta inconstitucional, en virtud de que no se celebró la consulta a los pueblos y comunidades indígenas, tal y como lo mandatan los artículos 2o apartado A fracción XIII de nuestra Constitución y 6o del Convenio 169. </w:t>
      </w:r>
    </w:p>
    <w:p w:rsidR="00000000" w:rsidDel="00000000" w:rsidP="00000000" w:rsidRDefault="00000000" w:rsidRPr="00000000" w14:paraId="000000E1">
      <w:pPr>
        <w:spacing w:after="160" w:before="0" w:line="360" w:lineRule="auto"/>
        <w:ind w:left="0" w:right="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2">
      <w:pPr>
        <w:spacing w:after="16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SEGUNDO.</w:t>
      </w:r>
      <w:r w:rsidDel="00000000" w:rsidR="00000000" w:rsidRPr="00000000">
        <w:rPr>
          <w:rFonts w:ascii="Arial" w:cs="Arial" w:eastAsia="Arial" w:hAnsi="Arial"/>
          <w:sz w:val="24"/>
          <w:szCs w:val="24"/>
          <w:rtl w:val="0"/>
        </w:rPr>
        <w:t xml:space="preserve"> Tal y como fue señalado en el concepto de violación precedente, el artículo 43 de la Ley General de Aguas establece el </w:t>
      </w:r>
      <w:r w:rsidDel="00000000" w:rsidR="00000000" w:rsidRPr="00000000">
        <w:rPr>
          <w:rFonts w:ascii="Arial" w:cs="Arial" w:eastAsia="Arial" w:hAnsi="Arial"/>
          <w:b w:val="0"/>
          <w:bCs w:val="0"/>
          <w:i w:val="0"/>
          <w:iCs w:val="0"/>
          <w:smallCaps w:val="0"/>
          <w:color w:val="000000"/>
          <w:sz w:val="24"/>
          <w:szCs w:val="24"/>
          <w:rtl w:val="0"/>
        </w:rPr>
        <w:t xml:space="preserve">mandato para que los sistemas comunitarios de agua y saneamiento, y los servicios de agua para actividades productivas, administrados por los pueblos y comunidades indígenas y afromexicanas, sean regulados por la ley general reglamentaria del artículo 2o. de la Constitución Política de los Estados Unidos Mexicanos, sólo que este último ordenamiento reglamentario no existe, lo que deja en estado de inseguridad jurídica a esta quejosa, violentándose así lo previsto en los artículos 14 y 16 de los Estados Unidos Mexicanos en el sentido de que 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 ni tampoco </w:t>
      </w:r>
      <w:r w:rsidDel="00000000" w:rsidR="00000000" w:rsidRPr="00000000">
        <w:rPr>
          <w:rFonts w:ascii="Arial" w:cs="Arial" w:eastAsia="Arial" w:hAnsi="Arial"/>
          <w:b w:val="0"/>
          <w:bCs w:val="0"/>
          <w:i w:val="0"/>
          <w:iCs w:val="0"/>
          <w:smallCaps w:val="0"/>
          <w:sz w:val="24"/>
          <w:szCs w:val="24"/>
          <w:rtl w:val="0"/>
        </w:rPr>
        <w:t xml:space="preserve">molestado en su persona, familia, domicilio, papeles o posesiones, sino en virtud de mandamiento escrito de la autoridad competente, que funde y motive la causa legal del procedimiento.</w:t>
      </w:r>
      <w:r w:rsidDel="00000000" w:rsidR="00000000" w:rsidRPr="00000000">
        <w:rPr>
          <w:rtl w:val="0"/>
        </w:rPr>
      </w:r>
    </w:p>
    <w:p w:rsidR="00000000" w:rsidDel="00000000" w:rsidP="00000000" w:rsidRDefault="00000000" w:rsidRPr="00000000" w14:paraId="000000E3">
      <w:pPr>
        <w:spacing w:after="160" w:before="0" w:line="360" w:lineRule="auto"/>
        <w:ind w:left="0" w:right="0" w:firstLine="0"/>
        <w:jc w:val="both"/>
        <w:rPr>
          <w:rFonts w:ascii="Arial" w:cs="Arial" w:eastAsia="Arial" w:hAnsi="Arial"/>
          <w:b w:val="0"/>
          <w:bCs w:val="0"/>
          <w:i w:val="0"/>
          <w:iCs w:val="0"/>
          <w:smallCaps w:val="0"/>
          <w:sz w:val="24"/>
          <w:szCs w:val="24"/>
        </w:rPr>
      </w:pPr>
      <w:r w:rsidDel="00000000" w:rsidR="00000000" w:rsidRPr="00000000">
        <w:rPr>
          <w:rFonts w:ascii="Arial" w:cs="Arial" w:eastAsia="Arial" w:hAnsi="Arial"/>
          <w:b w:val="0"/>
          <w:bCs w:val="0"/>
          <w:i w:val="0"/>
          <w:iCs w:val="0"/>
          <w:smallCaps w:val="0"/>
          <w:sz w:val="24"/>
          <w:szCs w:val="24"/>
          <w:rtl w:val="0"/>
        </w:rPr>
        <w:t xml:space="preserve">Dicha trasgresión cobra vigencia al no existir en ley aquellos elementos mínimos que permitan hacer valer los derechos de las comunidades en materia de recursos hídricos abriendo con ello la posibilidad de que las autoridades incurran en arbitrariedades.</w:t>
      </w:r>
    </w:p>
    <w:p w:rsidR="00000000" w:rsidDel="00000000" w:rsidP="00000000" w:rsidRDefault="00000000" w:rsidRPr="00000000" w14:paraId="000000E4">
      <w:pPr>
        <w:spacing w:after="160" w:before="0" w:line="360" w:lineRule="auto"/>
        <w:ind w:left="0" w:right="0" w:firstLine="0"/>
        <w:jc w:val="both"/>
        <w:rPr>
          <w:rFonts w:ascii="Roboto" w:cs="Roboto" w:eastAsia="Roboto" w:hAnsi="Roboto"/>
          <w:b w:val="0"/>
          <w:bCs w:val="0"/>
          <w:i w:val="0"/>
          <w:iCs w:val="0"/>
          <w:smallCaps w:val="0"/>
          <w:sz w:val="21"/>
          <w:szCs w:val="21"/>
        </w:rPr>
      </w:pPr>
      <w:r w:rsidDel="00000000" w:rsidR="00000000" w:rsidRPr="00000000">
        <w:rPr>
          <w:rtl w:val="0"/>
        </w:rPr>
      </w:r>
    </w:p>
    <w:p w:rsidR="00000000" w:rsidDel="00000000" w:rsidP="00000000" w:rsidRDefault="00000000" w:rsidRPr="00000000" w14:paraId="000000E5">
      <w:pPr>
        <w:spacing w:after="160" w:before="0" w:line="360" w:lineRule="auto"/>
        <w:ind w:left="0" w:right="0" w:firstLine="0"/>
        <w:jc w:val="both"/>
        <w:rPr>
          <w:rFonts w:ascii="Arial" w:cs="Arial" w:eastAsia="Arial" w:hAnsi="Arial"/>
          <w:b w:val="0"/>
          <w:bCs w:val="0"/>
          <w:i w:val="0"/>
          <w:iCs w:val="0"/>
          <w:smallCaps w:val="0"/>
          <w:color w:val="000000"/>
          <w:sz w:val="24"/>
          <w:szCs w:val="24"/>
        </w:rPr>
      </w:pPr>
      <w:r w:rsidDel="00000000" w:rsidR="00000000" w:rsidRPr="00000000">
        <w:rPr>
          <w:rFonts w:ascii="Arial" w:cs="Arial" w:eastAsia="Arial" w:hAnsi="Arial"/>
          <w:b w:val="0"/>
          <w:bCs w:val="0"/>
          <w:i w:val="0"/>
          <w:iCs w:val="0"/>
          <w:smallCaps w:val="0"/>
          <w:color w:val="000000"/>
          <w:sz w:val="24"/>
          <w:szCs w:val="24"/>
          <w:rtl w:val="0"/>
        </w:rPr>
        <w:t xml:space="preserve">Resulta aplicable la tesis de jurisprudencia 2a./J. 144/2006, con número de registro digital 174094, sustentada por la Segunda Sala de la Suprema Corte de Justicia de la Nación, consultable en el Semanario Judicial de la Federación y su Gaceta. Tomo XXIV, octubre de 2006, página 351, Novena Época, en cuyo texto se lee lo siguiente: </w:t>
      </w:r>
    </w:p>
    <w:p w:rsidR="00000000" w:rsidDel="00000000" w:rsidP="00000000" w:rsidRDefault="00000000" w:rsidRPr="00000000" w14:paraId="000000E6">
      <w:pPr>
        <w:spacing w:after="160" w:before="0" w:line="360" w:lineRule="auto"/>
        <w:ind w:left="0" w:right="0" w:firstLine="0"/>
        <w:jc w:val="both"/>
        <w:rPr>
          <w:rFonts w:ascii="Arial" w:cs="Arial" w:eastAsia="Arial" w:hAnsi="Arial"/>
          <w:b w:val="0"/>
          <w:bCs w:val="0"/>
          <w:i w:val="0"/>
          <w:iCs w:val="0"/>
          <w:smallCaps w:val="0"/>
          <w:color w:val="000000"/>
          <w:sz w:val="24"/>
          <w:szCs w:val="24"/>
        </w:rPr>
      </w:pPr>
      <w:r w:rsidDel="00000000" w:rsidR="00000000" w:rsidRPr="00000000">
        <w:rPr>
          <w:rFonts w:ascii="Arial" w:cs="Arial" w:eastAsia="Arial" w:hAnsi="Arial"/>
          <w:b w:val="0"/>
          <w:bCs w:val="0"/>
          <w:i w:val="0"/>
          <w:iCs w:val="0"/>
          <w:smallCaps w:val="0"/>
          <w:color w:val="000000"/>
          <w:sz w:val="24"/>
          <w:szCs w:val="24"/>
          <w:rtl w:val="0"/>
        </w:rPr>
        <w:t xml:space="preserve"> </w:t>
      </w:r>
    </w:p>
    <w:p w:rsidR="00000000" w:rsidDel="00000000" w:rsidP="00000000" w:rsidRDefault="00000000" w:rsidRPr="00000000" w14:paraId="000000E7">
      <w:pPr>
        <w:spacing w:after="160" w:before="0" w:line="360" w:lineRule="auto"/>
        <w:ind w:left="630" w:right="630" w:firstLine="0"/>
        <w:jc w:val="both"/>
        <w:rPr>
          <w:rFonts w:ascii="Arial" w:cs="Arial" w:eastAsia="Arial" w:hAnsi="Arial"/>
          <w:b w:val="0"/>
          <w:bCs w:val="0"/>
          <w:i w:val="0"/>
          <w:iCs w:val="0"/>
          <w:smallCaps w:val="0"/>
          <w:color w:val="000000"/>
          <w:sz w:val="20"/>
          <w:szCs w:val="20"/>
        </w:rPr>
      </w:pPr>
      <w:r w:rsidDel="00000000" w:rsidR="00000000" w:rsidRPr="00000000">
        <w:rPr>
          <w:rFonts w:ascii="Arial" w:cs="Arial" w:eastAsia="Arial" w:hAnsi="Arial"/>
          <w:b w:val="0"/>
          <w:bCs w:val="0"/>
          <w:i w:val="0"/>
          <w:iCs w:val="0"/>
          <w:smallCaps w:val="0"/>
          <w:color w:val="000000"/>
          <w:sz w:val="20"/>
          <w:szCs w:val="20"/>
          <w:rtl w:val="0"/>
        </w:rPr>
        <w:t xml:space="preserve">GARANTÍA DE SEGURIDAD JURÍDICA. SUS ALCANCES. La garantía de seguridad jurídica prevista en el artículo 16 de la Constitución Política de los Estados Unidos Mexicanos, no debe entenderse en el sentido de que la ley ha de señalar de manera especial y precisa un procedimiento para regular cada una de las relaciones que se entablen entre las autoridades y los particulares, sino que debe contener los elementos mínimos para hacer valer el derecho del gobernado y para que, sobre este aspecto, la autoridad no incurra en arbitrariedades, lo que explica que existen trámites o relaciones que por su simplicidad o sencillez, no requieren de que la ley pormenorice un procedimiento detallado para ejercer el derecho correlativo. Lo anterior corrobora que es innecesario que en todos los supuestos de la ley se deba detallar minuciosamente el procedimiento, cuando éste se encuentra definido de manera sencilla para evidenciar la forma en que debe hacerse valer el derecho por el particular, así como las facultades y obligaciones que le corresponden a la autoridad.</w:t>
      </w:r>
    </w:p>
    <w:p w:rsidR="00000000" w:rsidDel="00000000" w:rsidP="00000000" w:rsidRDefault="00000000" w:rsidRPr="00000000" w14:paraId="000000E8">
      <w:pPr>
        <w:spacing w:after="160" w:before="0" w:line="360" w:lineRule="auto"/>
        <w:ind w:left="630" w:right="630" w:firstLine="0"/>
        <w:jc w:val="both"/>
        <w:rPr>
          <w:rFonts w:ascii="Arial" w:cs="Arial" w:eastAsia="Arial" w:hAnsi="Arial"/>
          <w:b w:val="0"/>
          <w:bCs w:val="0"/>
          <w:i w:val="0"/>
          <w:iCs w:val="0"/>
          <w:smallCaps w:val="0"/>
          <w:color w:val="000000"/>
          <w:sz w:val="20"/>
          <w:szCs w:val="20"/>
        </w:rPr>
      </w:pPr>
      <w:r w:rsidDel="00000000" w:rsidR="00000000" w:rsidRPr="00000000">
        <w:rPr>
          <w:rFonts w:ascii="Arial" w:cs="Arial" w:eastAsia="Arial" w:hAnsi="Arial"/>
          <w:b w:val="0"/>
          <w:bCs w:val="0"/>
          <w:i w:val="0"/>
          <w:iCs w:val="0"/>
          <w:smallCaps w:val="0"/>
          <w:color w:val="000000"/>
          <w:sz w:val="20"/>
          <w:szCs w:val="20"/>
          <w:rtl w:val="0"/>
        </w:rPr>
        <w:t xml:space="preserve">Amparo directo en revisión 538/2002. Confecciones y Artesanías Típicas de Tlaxcala, S.A. de C.V. 24 de mayo de 2002. Unanimidad de cuatro votos. Ausente: José Vicente Aguinaco Alemán. Ponente: José Vicente Aguinaco Alemán; en su ausencia hizo suyo el asunto Guillermo I. Ortiz Mayagoitia. Secretaria: Claudia Mendoza Polanco.</w:t>
      </w:r>
    </w:p>
    <w:p w:rsidR="00000000" w:rsidDel="00000000" w:rsidP="00000000" w:rsidRDefault="00000000" w:rsidRPr="00000000" w14:paraId="000000E9">
      <w:pPr>
        <w:spacing w:after="160" w:before="0" w:line="360" w:lineRule="auto"/>
        <w:ind w:left="630" w:right="630" w:firstLine="0"/>
        <w:jc w:val="both"/>
        <w:rPr>
          <w:rFonts w:ascii="Arial" w:cs="Arial" w:eastAsia="Arial" w:hAnsi="Arial"/>
          <w:b w:val="0"/>
          <w:bCs w:val="0"/>
          <w:i w:val="0"/>
          <w:iCs w:val="0"/>
          <w:smallCaps w:val="0"/>
          <w:color w:val="000000"/>
          <w:sz w:val="20"/>
          <w:szCs w:val="20"/>
        </w:rPr>
      </w:pPr>
      <w:r w:rsidDel="00000000" w:rsidR="00000000" w:rsidRPr="00000000">
        <w:rPr>
          <w:rFonts w:ascii="Arial" w:cs="Arial" w:eastAsia="Arial" w:hAnsi="Arial"/>
          <w:b w:val="0"/>
          <w:bCs w:val="0"/>
          <w:i w:val="0"/>
          <w:iCs w:val="0"/>
          <w:smallCaps w:val="0"/>
          <w:color w:val="000000"/>
          <w:sz w:val="20"/>
          <w:szCs w:val="20"/>
          <w:rtl w:val="0"/>
        </w:rPr>
        <w:t xml:space="preserve">Amparo directo en revisión 503/2002. Agencia Llantera, S.A. de C.V. 8 de noviembre de 2002. Unanimidad de cuatro votos. Ausente: Mariano Azuela Güitrón. Ponente: Guillermo I. Ortiz Mayagoitia. Secretario: Marco Antonio Cepeda Anaya.</w:t>
      </w:r>
    </w:p>
    <w:p w:rsidR="00000000" w:rsidDel="00000000" w:rsidP="00000000" w:rsidRDefault="00000000" w:rsidRPr="00000000" w14:paraId="000000EA">
      <w:pPr>
        <w:spacing w:after="160" w:before="0" w:line="360" w:lineRule="auto"/>
        <w:ind w:left="630" w:right="630" w:firstLine="0"/>
        <w:jc w:val="both"/>
        <w:rPr>
          <w:rFonts w:ascii="Arial" w:cs="Arial" w:eastAsia="Arial" w:hAnsi="Arial"/>
          <w:b w:val="0"/>
          <w:bCs w:val="0"/>
          <w:i w:val="0"/>
          <w:iCs w:val="0"/>
          <w:smallCaps w:val="0"/>
          <w:color w:val="000000"/>
          <w:sz w:val="20"/>
          <w:szCs w:val="20"/>
        </w:rPr>
      </w:pPr>
      <w:r w:rsidDel="00000000" w:rsidR="00000000" w:rsidRPr="00000000">
        <w:rPr>
          <w:rFonts w:ascii="Arial" w:cs="Arial" w:eastAsia="Arial" w:hAnsi="Arial"/>
          <w:b w:val="0"/>
          <w:bCs w:val="0"/>
          <w:i w:val="0"/>
          <w:iCs w:val="0"/>
          <w:smallCaps w:val="0"/>
          <w:color w:val="000000"/>
          <w:sz w:val="20"/>
          <w:szCs w:val="20"/>
          <w:rtl w:val="0"/>
        </w:rPr>
        <w:t xml:space="preserve">Amparo directo en revisión 1769/2002. Raúl Jaime Ayala Alejo. 7 de marzo de 2003. Unanimidad de cuatro votos. Ausente: Sergio Salvador Aguirre Anguiano. Ponente: Genaro David Góngora Pimentel. Secretario: Javier Arnaud Viñas.</w:t>
      </w:r>
    </w:p>
    <w:p w:rsidR="00000000" w:rsidDel="00000000" w:rsidP="00000000" w:rsidRDefault="00000000" w:rsidRPr="00000000" w14:paraId="000000EB">
      <w:pPr>
        <w:spacing w:after="160" w:before="0" w:line="360" w:lineRule="auto"/>
        <w:ind w:left="630" w:right="630" w:firstLine="0"/>
        <w:jc w:val="both"/>
        <w:rPr>
          <w:rFonts w:ascii="Arial" w:cs="Arial" w:eastAsia="Arial" w:hAnsi="Arial"/>
          <w:b w:val="0"/>
          <w:bCs w:val="0"/>
          <w:i w:val="0"/>
          <w:iCs w:val="0"/>
          <w:smallCaps w:val="0"/>
          <w:color w:val="000000"/>
          <w:sz w:val="20"/>
          <w:szCs w:val="20"/>
        </w:rPr>
      </w:pPr>
      <w:r w:rsidDel="00000000" w:rsidR="00000000" w:rsidRPr="00000000">
        <w:rPr>
          <w:rFonts w:ascii="Arial" w:cs="Arial" w:eastAsia="Arial" w:hAnsi="Arial"/>
          <w:b w:val="0"/>
          <w:bCs w:val="0"/>
          <w:i w:val="0"/>
          <w:iCs w:val="0"/>
          <w:smallCaps w:val="0"/>
          <w:color w:val="000000"/>
          <w:sz w:val="20"/>
          <w:szCs w:val="20"/>
          <w:rtl w:val="0"/>
        </w:rPr>
        <w:t xml:space="preserve">Amparo directo en revisión 405/2004. Empaques Modernos San Pablo, S.A. de C.V. 19 de mayo de 2004. Cinco votos. Ponente: Genaro David Góngora Pimentel. Secretario: Jorge Luis Revilla de la Torre.</w:t>
      </w:r>
    </w:p>
    <w:p w:rsidR="00000000" w:rsidDel="00000000" w:rsidP="00000000" w:rsidRDefault="00000000" w:rsidRPr="00000000" w14:paraId="000000EC">
      <w:pPr>
        <w:spacing w:after="160" w:before="0" w:line="360" w:lineRule="auto"/>
        <w:ind w:left="630" w:right="630" w:firstLine="0"/>
        <w:jc w:val="both"/>
        <w:rPr>
          <w:rFonts w:ascii="Arial" w:cs="Arial" w:eastAsia="Arial" w:hAnsi="Arial"/>
          <w:b w:val="0"/>
          <w:bCs w:val="0"/>
          <w:i w:val="0"/>
          <w:iCs w:val="0"/>
          <w:smallCaps w:val="0"/>
          <w:color w:val="000000"/>
          <w:sz w:val="20"/>
          <w:szCs w:val="20"/>
        </w:rPr>
      </w:pPr>
      <w:r w:rsidDel="00000000" w:rsidR="00000000" w:rsidRPr="00000000">
        <w:rPr>
          <w:rFonts w:ascii="Arial" w:cs="Arial" w:eastAsia="Arial" w:hAnsi="Arial"/>
          <w:b w:val="0"/>
          <w:bCs w:val="0"/>
          <w:i w:val="0"/>
          <w:iCs w:val="0"/>
          <w:smallCaps w:val="0"/>
          <w:color w:val="000000"/>
          <w:sz w:val="20"/>
          <w:szCs w:val="20"/>
          <w:rtl w:val="0"/>
        </w:rPr>
        <w:t xml:space="preserve">Amparo en revisión 164/2004. Inmobiliaria TMM, S.A. de C.V. y otras. 18 de febrero de 2005. Cinco votos. Ponente: Margarita Beatriz Luna Ramos. Secretario: Fernando Silva García.</w:t>
      </w:r>
    </w:p>
    <w:p w:rsidR="00000000" w:rsidDel="00000000" w:rsidP="00000000" w:rsidRDefault="00000000" w:rsidRPr="00000000" w14:paraId="000000ED">
      <w:pPr>
        <w:spacing w:after="160" w:before="0" w:line="360" w:lineRule="auto"/>
        <w:ind w:left="630" w:right="630" w:firstLine="0"/>
        <w:jc w:val="both"/>
        <w:rPr>
          <w:rFonts w:ascii="Arial" w:cs="Arial" w:eastAsia="Arial" w:hAnsi="Arial"/>
          <w:b w:val="0"/>
          <w:bCs w:val="0"/>
          <w:i w:val="0"/>
          <w:iCs w:val="0"/>
          <w:smallCaps w:val="0"/>
          <w:color w:val="000000"/>
          <w:sz w:val="20"/>
          <w:szCs w:val="20"/>
        </w:rPr>
      </w:pPr>
      <w:r w:rsidDel="00000000" w:rsidR="00000000" w:rsidRPr="00000000">
        <w:rPr>
          <w:rFonts w:ascii="Arial" w:cs="Arial" w:eastAsia="Arial" w:hAnsi="Arial"/>
          <w:b w:val="0"/>
          <w:bCs w:val="0"/>
          <w:i w:val="0"/>
          <w:iCs w:val="0"/>
          <w:smallCaps w:val="0"/>
          <w:color w:val="000000"/>
          <w:sz w:val="20"/>
          <w:szCs w:val="20"/>
          <w:rtl w:val="0"/>
        </w:rPr>
        <w:t xml:space="preserve">Tesis de jurisprudencia 144/2006. Aprobada por la Segunda Sala de este Alto Tribunal en sesión privada del veintinueve de septiembre de dos mil seis.</w:t>
      </w:r>
    </w:p>
    <w:p w:rsidR="00000000" w:rsidDel="00000000" w:rsidP="00000000" w:rsidRDefault="00000000" w:rsidRPr="00000000" w14:paraId="000000EE">
      <w:pPr>
        <w:spacing w:after="160" w:before="0" w:line="360" w:lineRule="auto"/>
        <w:ind w:left="630" w:right="630" w:firstLine="0"/>
        <w:jc w:val="both"/>
        <w:rPr>
          <w:rFonts w:ascii="Arial" w:cs="Arial" w:eastAsia="Arial" w:hAnsi="Arial"/>
          <w:b w:val="0"/>
          <w:bCs w:val="0"/>
          <w:i w:val="0"/>
          <w:iCs w:val="0"/>
          <w:smallCaps w:val="0"/>
          <w:color w:val="000000"/>
          <w:sz w:val="24"/>
          <w:szCs w:val="24"/>
        </w:rPr>
      </w:pPr>
      <w:r w:rsidDel="00000000" w:rsidR="00000000" w:rsidRPr="00000000">
        <w:rPr>
          <w:rtl w:val="0"/>
        </w:rPr>
      </w:r>
    </w:p>
    <w:p w:rsidR="00000000" w:rsidDel="00000000" w:rsidP="00000000" w:rsidRDefault="00000000" w:rsidRPr="00000000" w14:paraId="000000EF">
      <w:pPr>
        <w:spacing w:after="160" w:before="0" w:line="360" w:lineRule="auto"/>
        <w:ind w:left="0" w:right="0" w:firstLine="0"/>
        <w:jc w:val="both"/>
        <w:rPr>
          <w:rFonts w:ascii="Arial" w:cs="Arial" w:eastAsia="Arial" w:hAnsi="Arial"/>
          <w:b w:val="0"/>
          <w:bCs w:val="0"/>
          <w:i w:val="0"/>
          <w:iCs w:val="0"/>
          <w:smallCaps w:val="0"/>
          <w:sz w:val="24"/>
          <w:szCs w:val="24"/>
        </w:rPr>
      </w:pPr>
      <w:r w:rsidDel="00000000" w:rsidR="00000000" w:rsidRPr="00000000">
        <w:rPr>
          <w:rFonts w:ascii="Arial" w:cs="Arial" w:eastAsia="Arial" w:hAnsi="Arial"/>
          <w:b w:val="0"/>
          <w:bCs w:val="0"/>
          <w:i w:val="0"/>
          <w:iCs w:val="0"/>
          <w:smallCaps w:val="0"/>
          <w:sz w:val="24"/>
          <w:szCs w:val="24"/>
          <w:rtl w:val="0"/>
        </w:rPr>
        <w:t xml:space="preserve">La omisión legislativa en comento se actualiza a la luz de lo dispuesto por el artículo tercero transitorio del Decreto </w:t>
      </w:r>
      <w:r w:rsidDel="00000000" w:rsidR="00000000" w:rsidRPr="00000000">
        <w:rPr>
          <w:rFonts w:ascii="Arial" w:cs="Arial" w:eastAsia="Arial" w:hAnsi="Arial"/>
          <w:sz w:val="24"/>
          <w:szCs w:val="24"/>
          <w:rtl w:val="0"/>
        </w:rPr>
        <w:t xml:space="preserve">por el que se reforman, adicionan y derogan diversas disposiciones del artículo 2o. de la Constitución Política de los Estados Unidos Mexicanos, en materia de Pueblos y Comunidades Indígenas y Afromexicanos, publicado en el Diario Oficial de la Federación el 30 de septiembre de 2024, en el cual se establece que el Congreso de la Unión, en un plazo de ciento ochenta días, contados a partir de la entrada en vigor de dicho Decreto, debe expedir la ley general de la materia y armonizar el marco jurídico de las leyes que correspondan, para adecuarlo al contenido del presente Decreto, imperativo que hasta el momento no ha sido cumplimentado, por lo que, se insiste, esta comunidad se encuentra en estado de indefensión frente al poder público ante la carencia de un marco jurídico que regule </w:t>
      </w:r>
      <w:r w:rsidDel="00000000" w:rsidR="00000000" w:rsidRPr="00000000">
        <w:rPr>
          <w:rFonts w:ascii="Arial" w:cs="Arial" w:eastAsia="Arial" w:hAnsi="Arial"/>
          <w:b w:val="0"/>
          <w:bCs w:val="0"/>
          <w:i w:val="0"/>
          <w:iCs w:val="0"/>
          <w:smallCaps w:val="0"/>
          <w:color w:val="000000"/>
          <w:sz w:val="24"/>
          <w:szCs w:val="24"/>
          <w:rtl w:val="0"/>
        </w:rPr>
        <w:t xml:space="preserve">los sistemas comunitarios de agua y saneamiento, y los servicios de agua para actividades productivas, administrados por los pueblos y comunidades indígenas y afromexicanas.</w:t>
      </w:r>
      <w:r w:rsidDel="00000000" w:rsidR="00000000" w:rsidRPr="00000000">
        <w:rPr>
          <w:rtl w:val="0"/>
        </w:rPr>
      </w:r>
    </w:p>
    <w:p w:rsidR="00000000" w:rsidDel="00000000" w:rsidP="00000000" w:rsidRDefault="00000000" w:rsidRPr="00000000" w14:paraId="000000F0">
      <w:pPr>
        <w:spacing w:after="160" w:before="0" w:line="360" w:lineRule="auto"/>
        <w:ind w:left="0" w:right="0" w:firstLine="0"/>
        <w:jc w:val="both"/>
        <w:rPr>
          <w:rFonts w:ascii="Arial" w:cs="Arial" w:eastAsia="Arial" w:hAnsi="Arial"/>
          <w:b w:val="0"/>
          <w:bCs w:val="0"/>
          <w:i w:val="0"/>
          <w:iCs w:val="0"/>
          <w:smallCaps w:val="0"/>
          <w:color w:val="000000"/>
          <w:sz w:val="24"/>
          <w:szCs w:val="24"/>
        </w:rPr>
      </w:pPr>
      <w:r w:rsidDel="00000000" w:rsidR="00000000" w:rsidRPr="00000000">
        <w:rPr>
          <w:rtl w:val="0"/>
        </w:rPr>
      </w:r>
    </w:p>
    <w:p w:rsidR="00000000" w:rsidDel="00000000" w:rsidP="00000000" w:rsidRDefault="00000000" w:rsidRPr="00000000" w14:paraId="000000F1">
      <w:pPr>
        <w:spacing w:after="160" w:before="0" w:line="360" w:lineRule="auto"/>
        <w:ind w:left="0" w:right="0" w:firstLine="0"/>
        <w:jc w:val="both"/>
        <w:rPr>
          <w:rFonts w:ascii="Arial" w:cs="Arial" w:eastAsia="Arial" w:hAnsi="Arial"/>
          <w:b w:val="0"/>
          <w:bCs w:val="0"/>
          <w:i w:val="0"/>
          <w:iCs w:val="0"/>
          <w:smallCaps w:val="0"/>
          <w:color w:val="000000"/>
          <w:sz w:val="24"/>
          <w:szCs w:val="24"/>
        </w:rPr>
      </w:pPr>
      <w:r w:rsidDel="00000000" w:rsidR="00000000" w:rsidRPr="00000000">
        <w:rPr>
          <w:rFonts w:ascii="Arial" w:cs="Arial" w:eastAsia="Arial" w:hAnsi="Arial"/>
          <w:b w:val="0"/>
          <w:bCs w:val="0"/>
          <w:i w:val="0"/>
          <w:iCs w:val="0"/>
          <w:smallCaps w:val="0"/>
          <w:color w:val="000000"/>
          <w:sz w:val="24"/>
          <w:szCs w:val="24"/>
          <w:rtl w:val="0"/>
        </w:rPr>
        <w:t xml:space="preserve">Es aplicable al caso la tesis I.4o.A.21 K (10a.), con número de registro digital 2005199, sustentada por el Cuarto Tribunal Colegiado en Materia Administrativa del Primer Circuito, consultable en la Gaceta del Semanario Judicial de la Federación. Libro 1, diciembre de 2013, Tomo II, página 120, Décima Época, la cual establece lo siguiente: </w:t>
      </w:r>
    </w:p>
    <w:p w:rsidR="00000000" w:rsidDel="00000000" w:rsidP="00000000" w:rsidRDefault="00000000" w:rsidRPr="00000000" w14:paraId="000000F2">
      <w:pPr>
        <w:spacing w:after="160" w:before="0" w:line="360" w:lineRule="auto"/>
        <w:ind w:left="0" w:right="0" w:firstLine="0"/>
        <w:jc w:val="both"/>
        <w:rPr>
          <w:rFonts w:ascii="Arial" w:cs="Arial" w:eastAsia="Arial" w:hAnsi="Arial"/>
          <w:b w:val="0"/>
          <w:bCs w:val="0"/>
          <w:i w:val="0"/>
          <w:iCs w:val="0"/>
          <w:smallCaps w:val="0"/>
          <w:color w:val="000000"/>
          <w:sz w:val="24"/>
          <w:szCs w:val="24"/>
        </w:rPr>
      </w:pPr>
      <w:r w:rsidDel="00000000" w:rsidR="00000000" w:rsidRPr="00000000">
        <w:rPr>
          <w:rtl w:val="0"/>
        </w:rPr>
      </w:r>
    </w:p>
    <w:p w:rsidR="00000000" w:rsidDel="00000000" w:rsidP="00000000" w:rsidRDefault="00000000" w:rsidRPr="00000000" w14:paraId="000000F3">
      <w:pPr>
        <w:spacing w:after="160" w:before="0" w:line="360" w:lineRule="auto"/>
        <w:ind w:left="450" w:right="360" w:firstLine="0"/>
        <w:jc w:val="both"/>
        <w:rPr>
          <w:rFonts w:ascii="Arial" w:cs="Arial" w:eastAsia="Arial" w:hAnsi="Arial"/>
          <w:b w:val="0"/>
          <w:bCs w:val="0"/>
          <w:i w:val="0"/>
          <w:iCs w:val="0"/>
          <w:smallCaps w:val="0"/>
          <w:color w:val="000000"/>
          <w:sz w:val="20"/>
          <w:szCs w:val="20"/>
        </w:rPr>
      </w:pPr>
      <w:r w:rsidDel="00000000" w:rsidR="00000000" w:rsidRPr="00000000">
        <w:rPr>
          <w:rFonts w:ascii="Arial" w:cs="Arial" w:eastAsia="Arial" w:hAnsi="Arial"/>
          <w:b w:val="0"/>
          <w:bCs w:val="0"/>
          <w:i w:val="0"/>
          <w:iCs w:val="0"/>
          <w:smallCaps w:val="0"/>
          <w:color w:val="000000"/>
          <w:sz w:val="20"/>
          <w:szCs w:val="20"/>
          <w:rtl w:val="0"/>
        </w:rPr>
        <w:t xml:space="preserve">OMISIÓN LEGISLATIVA. SU CONCEPTO. Una de las funciones primordiales en que se desarrolla la actividad del Estado es la legislativa, generando normas que permitan la convivencia armónica de los gobernados, la realización y optimización de las políticas públicas del Estado, además de garantizar la vigencia y protección de los derechos fundamentales de las personas. En este contexto, la Norma Fundamental se concibe como un eje y marco de referencia sobre el cual debe desenvolverse el órgano estatal, constituyendo en sí misma un límite y un paradigma de actuación de la autoridad, cuando sea conminada para ello por el Constituyente. Estos mandatos de acciones positivas adquieren especial significado, sobre todo cuando el efecto es dotar de contenido y eficacia a un derecho fundamental, el cual contempla una serie de postulados que representan aspiraciones programáticas, pero también de posiciones y status de los titulares de esos derechos, deviniendo ineludible y necesario el desarrollo de tareas por el legislador ordinario con el propósito de hacer efectivos los derechos previstos en la Ley Fundamental como un sistema de posiciones jurídicas que incluye derechos, libertades y competencias. Por tanto, pueden darse deficiencias dentro del proceso legislativo que producen una falla en el mandato constitucional, ya sea derivado de descuido, olvido o insuficiencia en la creación de la norma o legislación sobre determinados rubros. En este sentido, la omisión legislativa puede definirse como la falta de desarrollo por parte del Poder Legislativo, durante un tiempo excesivo, de aquéllas normas de obligatorio y concreto desarrollo, de forma que impide la eficaz aplicación y efectividad del texto constitucional, esto es, incumple con el desarrollo de determinadas cláusulas constitucionales, a fin de tornarlas operativas, y esto sucede cuando el silencio del legislador altera el contenido normativo, o provoca situaciones contrarias a la Constitución.</w:t>
      </w:r>
    </w:p>
    <w:p w:rsidR="00000000" w:rsidDel="00000000" w:rsidP="00000000" w:rsidRDefault="00000000" w:rsidRPr="00000000" w14:paraId="000000F4">
      <w:pPr>
        <w:spacing w:after="160" w:before="0" w:line="360" w:lineRule="auto"/>
        <w:ind w:left="450" w:right="360" w:firstLine="0"/>
        <w:jc w:val="both"/>
        <w:rPr>
          <w:rFonts w:ascii="Arial" w:cs="Arial" w:eastAsia="Arial" w:hAnsi="Arial"/>
          <w:b w:val="0"/>
          <w:bCs w:val="0"/>
          <w:i w:val="0"/>
          <w:iCs w:val="0"/>
          <w:smallCaps w:val="0"/>
          <w:color w:val="000000"/>
          <w:sz w:val="20"/>
          <w:szCs w:val="20"/>
        </w:rPr>
      </w:pPr>
      <w:r w:rsidDel="00000000" w:rsidR="00000000" w:rsidRPr="00000000">
        <w:rPr>
          <w:rFonts w:ascii="Arial" w:cs="Arial" w:eastAsia="Arial" w:hAnsi="Arial"/>
          <w:b w:val="0"/>
          <w:bCs w:val="0"/>
          <w:i w:val="0"/>
          <w:iCs w:val="0"/>
          <w:smallCaps w:val="0"/>
          <w:color w:val="000000"/>
          <w:sz w:val="20"/>
          <w:szCs w:val="20"/>
          <w:rtl w:val="0"/>
        </w:rPr>
        <w:t xml:space="preserve"> Amparo en revisión 76/2013. Administración Local de Auditoría Fiscal del Sur del Distrito Federal y otra. 6 de junio de 2013. Unanimidad de votos. Ponente: Jean Claude Tron Petit. Secretarios: Mayra Susana Martínez López y Marco Antonio Pérez Meza.</w:t>
      </w:r>
    </w:p>
    <w:p w:rsidR="00000000" w:rsidDel="00000000" w:rsidP="00000000" w:rsidRDefault="00000000" w:rsidRPr="00000000" w14:paraId="000000F5">
      <w:pPr>
        <w:spacing w:after="160" w:before="0" w:line="360" w:lineRule="auto"/>
        <w:ind w:left="450" w:right="360" w:firstLine="0"/>
        <w:jc w:val="both"/>
        <w:rPr>
          <w:rFonts w:ascii="Arial" w:cs="Arial" w:eastAsia="Arial" w:hAnsi="Arial"/>
          <w:b w:val="0"/>
          <w:bCs w:val="0"/>
          <w:i w:val="0"/>
          <w:iCs w:val="0"/>
          <w:smallCaps w:val="0"/>
          <w:color w:val="000000"/>
          <w:sz w:val="20"/>
          <w:szCs w:val="20"/>
        </w:rPr>
      </w:pPr>
      <w:r w:rsidDel="00000000" w:rsidR="00000000" w:rsidRPr="00000000">
        <w:rPr>
          <w:rFonts w:ascii="Arial" w:cs="Arial" w:eastAsia="Arial" w:hAnsi="Arial"/>
          <w:b w:val="0"/>
          <w:bCs w:val="0"/>
          <w:i w:val="0"/>
          <w:iCs w:val="0"/>
          <w:smallCaps w:val="0"/>
          <w:color w:val="000000"/>
          <w:sz w:val="20"/>
          <w:szCs w:val="20"/>
          <w:rtl w:val="0"/>
        </w:rPr>
        <w:t xml:space="preserve">Esta tesis se publicó el viernes 13 de diciembre de 2013 a las 13:20 horas en el Semanario Judicial de la Federación.</w:t>
      </w:r>
    </w:p>
    <w:p w:rsidR="00000000" w:rsidDel="00000000" w:rsidP="00000000" w:rsidRDefault="00000000" w:rsidRPr="00000000" w14:paraId="000000F6">
      <w:pPr>
        <w:spacing w:after="160" w:before="0" w:line="360" w:lineRule="auto"/>
        <w:ind w:left="450" w:right="360" w:firstLine="0"/>
        <w:jc w:val="both"/>
        <w:rPr>
          <w:rFonts w:ascii="Arial" w:cs="Arial" w:eastAsia="Arial" w:hAnsi="Arial"/>
          <w:b w:val="0"/>
          <w:bCs w:val="0"/>
          <w:i w:val="0"/>
          <w:iCs w:val="0"/>
          <w:smallCaps w:val="0"/>
          <w:color w:val="000000"/>
          <w:sz w:val="24"/>
          <w:szCs w:val="24"/>
        </w:rPr>
      </w:pPr>
      <w:r w:rsidDel="00000000" w:rsidR="00000000" w:rsidRPr="00000000">
        <w:rPr>
          <w:rtl w:val="0"/>
        </w:rPr>
      </w:r>
    </w:p>
    <w:p w:rsidR="00000000" w:rsidDel="00000000" w:rsidP="00000000" w:rsidRDefault="00000000" w:rsidRPr="00000000" w14:paraId="000000F7">
      <w:pPr>
        <w:spacing w:after="160" w:before="0" w:line="360" w:lineRule="auto"/>
        <w:ind w:left="0" w:right="0" w:firstLine="0"/>
        <w:jc w:val="both"/>
        <w:rPr>
          <w:rFonts w:ascii="Arial" w:cs="Arial" w:eastAsia="Arial" w:hAnsi="Arial"/>
          <w:b w:val="0"/>
          <w:bCs w:val="0"/>
          <w:i w:val="0"/>
          <w:iCs w:val="0"/>
          <w:smallCaps w:val="0"/>
          <w:color w:val="000000"/>
          <w:sz w:val="24"/>
          <w:szCs w:val="24"/>
        </w:rPr>
      </w:pPr>
      <w:r w:rsidDel="00000000" w:rsidR="00000000" w:rsidRPr="00000000">
        <w:rPr>
          <w:rFonts w:ascii="Arial" w:cs="Arial" w:eastAsia="Arial" w:hAnsi="Arial"/>
          <w:b w:val="0"/>
          <w:bCs w:val="0"/>
          <w:i w:val="0"/>
          <w:iCs w:val="0"/>
          <w:smallCaps w:val="0"/>
          <w:color w:val="000000"/>
          <w:sz w:val="24"/>
          <w:szCs w:val="24"/>
          <w:rtl w:val="0"/>
        </w:rPr>
        <w:t xml:space="preserve">En este sentido, si el Congreso de la Unión ha omitido expedir el ordenamiento a que se refiere el artículo 43 de la Ley General de Aguas y es justo ese el que debe contener las modalidades bajo las cuales deberán regirse l</w:t>
      </w:r>
      <w:r w:rsidDel="00000000" w:rsidR="00000000" w:rsidRPr="00000000">
        <w:rPr>
          <w:rFonts w:ascii="Arial" w:cs="Arial" w:eastAsia="Arial" w:hAnsi="Arial"/>
          <w:b w:val="0"/>
          <w:bCs w:val="0"/>
          <w:i w:val="0"/>
          <w:iCs w:val="0"/>
          <w:sz w:val="24"/>
          <w:szCs w:val="24"/>
          <w:rtl w:val="0"/>
        </w:rPr>
        <w:t xml:space="preserve">os </w:t>
      </w:r>
      <w:r w:rsidDel="00000000" w:rsidR="00000000" w:rsidRPr="00000000">
        <w:rPr>
          <w:rFonts w:ascii="Arial" w:cs="Arial" w:eastAsia="Arial" w:hAnsi="Arial"/>
          <w:b w:val="0"/>
          <w:bCs w:val="0"/>
          <w:i w:val="0"/>
          <w:iCs w:val="0"/>
          <w:smallCaps w:val="0"/>
          <w:color w:val="000000"/>
          <w:sz w:val="24"/>
          <w:szCs w:val="24"/>
          <w:rtl w:val="0"/>
        </w:rPr>
        <w:t xml:space="preserve">sistemas comunitarios de agua y saneamiento, y los servicios de agua para actividades productivas, administrados por los pueblos y comunidades indígenas y afromexicanas, estamos frente a una omisión legislativa que significa un menoscabo a las garantías de seguridad jurídica contenidas en los artículos 14 y 16 de nuestra Ley Fundamental. </w:t>
      </w:r>
    </w:p>
    <w:p w:rsidR="00000000" w:rsidDel="00000000" w:rsidP="00000000" w:rsidRDefault="00000000" w:rsidRPr="00000000" w14:paraId="000000F8">
      <w:pPr>
        <w:spacing w:after="160" w:before="0" w:line="360" w:lineRule="auto"/>
        <w:ind w:left="0" w:right="0" w:firstLine="0"/>
        <w:jc w:val="both"/>
        <w:rPr>
          <w:rFonts w:ascii="Arial" w:cs="Arial" w:eastAsia="Arial" w:hAnsi="Arial"/>
          <w:b w:val="0"/>
          <w:bCs w:val="0"/>
          <w:i w:val="0"/>
          <w:iCs w:val="0"/>
          <w:smallCaps w:val="0"/>
          <w:color w:val="000000"/>
          <w:sz w:val="24"/>
          <w:szCs w:val="24"/>
        </w:rPr>
      </w:pPr>
      <w:r w:rsidDel="00000000" w:rsidR="00000000" w:rsidRPr="00000000">
        <w:rPr>
          <w:rFonts w:ascii="Arial" w:cs="Arial" w:eastAsia="Arial" w:hAnsi="Arial"/>
          <w:b w:val="0"/>
          <w:bCs w:val="0"/>
          <w:i w:val="0"/>
          <w:iCs w:val="0"/>
          <w:smallCaps w:val="0"/>
          <w:color w:val="000000"/>
          <w:sz w:val="24"/>
          <w:szCs w:val="24"/>
          <w:rtl w:val="0"/>
        </w:rPr>
        <w:t xml:space="preserve">Es aplicable por analogía la tesis 1a. I/2018 (10a.), con registro digital 2016004, sustentada por la Primera Sala de la Suprema Corte de Justicia de la Nación, consultable en la Gaceta del Semanario Judicial de la Federación. Libro 50, enero de 2018, Tomo I, página 283, Décima Época, de la cual se desprende lo siguiente:</w:t>
      </w:r>
    </w:p>
    <w:p w:rsidR="00000000" w:rsidDel="00000000" w:rsidP="00000000" w:rsidRDefault="00000000" w:rsidRPr="00000000" w14:paraId="000000F9">
      <w:pPr>
        <w:spacing w:after="160" w:before="0" w:line="360" w:lineRule="auto"/>
        <w:ind w:left="450" w:right="450" w:firstLine="0"/>
        <w:jc w:val="both"/>
        <w:rPr>
          <w:rFonts w:ascii="Arial" w:cs="Arial" w:eastAsia="Arial" w:hAnsi="Arial"/>
          <w:b w:val="0"/>
          <w:bCs w:val="0"/>
          <w:i w:val="0"/>
          <w:iCs w:val="0"/>
          <w:smallCaps w:val="0"/>
          <w:color w:val="000000"/>
          <w:sz w:val="20"/>
          <w:szCs w:val="20"/>
        </w:rPr>
      </w:pPr>
      <w:r w:rsidDel="00000000" w:rsidR="00000000" w:rsidRPr="00000000">
        <w:rPr>
          <w:rFonts w:ascii="Arial" w:cs="Arial" w:eastAsia="Arial" w:hAnsi="Arial"/>
          <w:b w:val="0"/>
          <w:bCs w:val="0"/>
          <w:i w:val="0"/>
          <w:iCs w:val="0"/>
          <w:smallCaps w:val="0"/>
          <w:color w:val="000000"/>
          <w:sz w:val="20"/>
          <w:szCs w:val="20"/>
          <w:rtl w:val="0"/>
        </w:rPr>
        <w:t xml:space="preserve">RESPONSABILIDAD PATRIMONIAL DEL ESTADO. SU FALTA DE REGULACIÓN POR LAS LEGISLATURAS LOCALES CONSTITUYE UNA OMISIÓN LEGISLATIVA ABSOLUTA VIOLATORIA DE LOS PRINCIPIOS DE RESPONSABILIDAD OBJETIVA Y DIRECTA PREVISTOS EN EL ARTÍCULO 113, PÁRRAFO SEGUNDO, DE LA CONSTITUCIÓN, EN SU TEXTO VIGENTE HASTA EL 27 DE MAYO DE 2015. A partir del Decreto por el que se adicionó un segundo párrafo al artículo 113 de la Constitución Política de los Estados Unidos Mexicanos, publicado en el Diario Oficial de la Federación el 14 de junio de 2002, el poder reformador de la Constitución estableció un orden jurídico estructurado al que sometió las actuaciones del Estado para el reconocimiento de los derechos públicos subjetivos de los gobernados, de forma tal que aquél tuviera una responsabilidad objetiva y directa por los daños que pudiera ocasionarles en sus bienes o derechos, con motivo de su actividad administrativa irregular (modelo constitucional actualmente ubicado en el artículo 109, último párrafo, por el Decreto por el que se reforman, adicionan y derogan diversas disposiciones de la Constitución, en materia de combate a la corrupción, publicado en el medio de difusión oficial citado el 27 de mayo de 2015); para lo cual, la Constitución General obligó a cada nivel de gobierno (federal, local y municipal) a prever y observar en sus ordenamientos jurídicos la responsabilidad patrimonial del Estado, objetiva y directa, y fijar en sus presupuestos una partida para hacer frente a dicha circunstancia, dentro del plazo comprendido de la publicación del decreto y hasta antes del 1o. de enero de 2004. Consecuentemente, si las legislaturas locales no adecuaron las leyes de las entidades federativas al nuevo modelo constitucional para prever los casos en que el Estado incide en la responsabilidad objetiva y directa, resulta inconcuso que incurren en una omisión legislativa absoluta violatoria de los principios constitucionales referidos y el derecho de los particulares a ser indemnizados debidamente.</w:t>
      </w:r>
    </w:p>
    <w:p w:rsidR="00000000" w:rsidDel="00000000" w:rsidP="00000000" w:rsidRDefault="00000000" w:rsidRPr="00000000" w14:paraId="000000FA">
      <w:pPr>
        <w:spacing w:after="160" w:before="0" w:line="360" w:lineRule="auto"/>
        <w:ind w:left="450" w:right="450" w:firstLine="0"/>
        <w:jc w:val="both"/>
        <w:rPr>
          <w:rFonts w:ascii="Arial" w:cs="Arial" w:eastAsia="Arial" w:hAnsi="Arial"/>
          <w:b w:val="0"/>
          <w:bCs w:val="0"/>
          <w:i w:val="0"/>
          <w:iCs w:val="0"/>
          <w:smallCaps w:val="0"/>
          <w:color w:val="000000"/>
          <w:sz w:val="20"/>
          <w:szCs w:val="20"/>
        </w:rPr>
      </w:pPr>
      <w:r w:rsidDel="00000000" w:rsidR="00000000" w:rsidRPr="00000000">
        <w:rPr>
          <w:rFonts w:ascii="Arial" w:cs="Arial" w:eastAsia="Arial" w:hAnsi="Arial"/>
          <w:b w:val="0"/>
          <w:bCs w:val="0"/>
          <w:i w:val="0"/>
          <w:iCs w:val="0"/>
          <w:smallCaps w:val="0"/>
          <w:color w:val="000000"/>
          <w:sz w:val="20"/>
          <w:szCs w:val="20"/>
          <w:rtl w:val="0"/>
        </w:rPr>
        <w:t xml:space="preserve">Amparo directo en revisión 6718/2016. 14 de junio de 2017. Cinco votos de los Ministros Arturo Zaldívar Lelo de Larrea, José Ramón Cossío Díaz, quien reservó su derecho para formular voto concurrente, Jorge Mario Pardo Rebolledo, Alfredo Gutiérrez Ortiz Mena y Norma Lucía Piña Hernández. Ponente: Alfredo Gutiérrez Ortiz Mena. Secretaria: Gabriela Eleonora Cortés Araujo.</w:t>
      </w:r>
    </w:p>
    <w:p w:rsidR="00000000" w:rsidDel="00000000" w:rsidP="00000000" w:rsidRDefault="00000000" w:rsidRPr="00000000" w14:paraId="000000FB">
      <w:pPr>
        <w:spacing w:after="160" w:before="0" w:line="360" w:lineRule="auto"/>
        <w:ind w:left="0" w:right="0" w:firstLine="0"/>
        <w:jc w:val="both"/>
        <w:rPr>
          <w:rFonts w:ascii="Arial" w:cs="Arial" w:eastAsia="Arial" w:hAnsi="Arial"/>
          <w:b w:val="0"/>
          <w:bCs w:val="0"/>
          <w:i w:val="0"/>
          <w:iCs w:val="0"/>
          <w:smallCaps w:val="0"/>
          <w:color w:val="000000"/>
          <w:sz w:val="24"/>
          <w:szCs w:val="24"/>
        </w:rPr>
      </w:pPr>
      <w:r w:rsidDel="00000000" w:rsidR="00000000" w:rsidRPr="00000000">
        <w:rPr>
          <w:rFonts w:ascii="Arial" w:cs="Arial" w:eastAsia="Arial" w:hAnsi="Arial"/>
          <w:b w:val="0"/>
          <w:bCs w:val="0"/>
          <w:i w:val="0"/>
          <w:iCs w:val="0"/>
          <w:smallCaps w:val="0"/>
          <w:color w:val="000000"/>
          <w:sz w:val="24"/>
          <w:szCs w:val="24"/>
          <w:rtl w:val="0"/>
        </w:rPr>
        <w:t xml:space="preserve">Por todo lo expuesto y fundado, resulta procedente conceder el amparo y protección de la justicia federal y declarar como inconstitucionales los actos reclamados. </w:t>
      </w:r>
    </w:p>
    <w:p w:rsidR="00000000" w:rsidDel="00000000" w:rsidP="00000000" w:rsidRDefault="00000000" w:rsidRPr="00000000" w14:paraId="000000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49" w:hanging="72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PRUEBAS.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49"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49"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documental pública consistente en el acta de asamblea mediante la cual se acredita el carácter del suscrito como representante de la comunidad quejosa, la cual se ofrece en original para su cotejo y posterior devolución. </w:t>
      </w:r>
    </w:p>
    <w:p w:rsidR="00000000" w:rsidDel="00000000" w:rsidP="00000000" w:rsidRDefault="00000000" w:rsidRPr="00000000" w14:paraId="000000F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49"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documental pública consistente en _________________________________________________________, a través de la cual se acredita que la comunidad es beneficiaria de las aguas existentes en la región hidrológica donde se encuentra asentada, misma que se ofrece en original para su cotejo y posterior devolución.</w:t>
      </w:r>
    </w:p>
    <w:p w:rsidR="00000000" w:rsidDel="00000000" w:rsidP="00000000" w:rsidRDefault="00000000" w:rsidRPr="00000000" w14:paraId="000001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49"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presuncional legal y humana, y</w:t>
      </w:r>
    </w:p>
    <w:p w:rsidR="00000000" w:rsidDel="00000000" w:rsidP="00000000" w:rsidRDefault="00000000" w:rsidRPr="00000000" w14:paraId="0000010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49"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instrumental de actuaciones.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1080" w:right="49"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104">
      <w:pPr>
        <w:spacing w:line="360" w:lineRule="auto"/>
        <w:ind w:left="0" w:right="4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todo lo antes expuesto, solicito a usted Juez de Distrito: </w:t>
      </w:r>
    </w:p>
    <w:p w:rsidR="00000000" w:rsidDel="00000000" w:rsidP="00000000" w:rsidRDefault="00000000" w:rsidRPr="00000000" w14:paraId="00000105">
      <w:pPr>
        <w:spacing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06">
      <w:pPr>
        <w:spacing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PRIMERO. -</w:t>
      </w:r>
      <w:r w:rsidDel="00000000" w:rsidR="00000000" w:rsidRPr="00000000">
        <w:rPr>
          <w:rFonts w:ascii="Arial" w:cs="Arial" w:eastAsia="Arial" w:hAnsi="Arial"/>
          <w:sz w:val="24"/>
          <w:szCs w:val="24"/>
          <w:rtl w:val="0"/>
        </w:rPr>
        <w:t xml:space="preserve"> Tenga por interpuesta en tiempo y forma la presente demanda de amparo y por admitidas las pruebas que se ofrecen.</w:t>
      </w:r>
    </w:p>
    <w:p w:rsidR="00000000" w:rsidDel="00000000" w:rsidP="00000000" w:rsidRDefault="00000000" w:rsidRPr="00000000" w14:paraId="00000107">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spacing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SEGUNDO. </w:t>
      </w:r>
      <w:r w:rsidDel="00000000" w:rsidR="00000000" w:rsidRPr="00000000">
        <w:rPr>
          <w:rFonts w:ascii="Arial" w:cs="Arial" w:eastAsia="Arial" w:hAnsi="Arial"/>
          <w:sz w:val="24"/>
          <w:szCs w:val="24"/>
          <w:rtl w:val="0"/>
        </w:rPr>
        <w:t xml:space="preserve">Tener por satisfechos los requisitos a que se refieren los artículos 107 y 108 de la Ley de Amparo y por autorizadas a las personas señaladas en el presente escrito. </w:t>
      </w:r>
    </w:p>
    <w:p w:rsidR="00000000" w:rsidDel="00000000" w:rsidP="00000000" w:rsidRDefault="00000000" w:rsidRPr="00000000" w14:paraId="00000109">
      <w:pPr>
        <w:spacing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0A">
      <w:pPr>
        <w:spacing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TERCERO.</w:t>
      </w:r>
      <w:r w:rsidDel="00000000" w:rsidR="00000000" w:rsidRPr="00000000">
        <w:rPr>
          <w:rFonts w:ascii="Arial" w:cs="Arial" w:eastAsia="Arial" w:hAnsi="Arial"/>
          <w:sz w:val="24"/>
          <w:szCs w:val="24"/>
          <w:rtl w:val="0"/>
        </w:rPr>
        <w:t xml:space="preserve"> Se autorice el uso de medios electrónicos para obtener una reproducción fiel de los autos que integren el presente juicio de amparo. </w:t>
      </w:r>
    </w:p>
    <w:p w:rsidR="00000000" w:rsidDel="00000000" w:rsidP="00000000" w:rsidRDefault="00000000" w:rsidRPr="00000000" w14:paraId="0000010B">
      <w:pPr>
        <w:spacing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0C">
      <w:pPr>
        <w:spacing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CUARTO.</w:t>
      </w:r>
      <w:r w:rsidDel="00000000" w:rsidR="00000000" w:rsidRPr="00000000">
        <w:rPr>
          <w:rFonts w:ascii="Arial" w:cs="Arial" w:eastAsia="Arial" w:hAnsi="Arial"/>
          <w:sz w:val="24"/>
          <w:szCs w:val="24"/>
          <w:rtl w:val="0"/>
        </w:rPr>
        <w:t xml:space="preserve"> Una vez agotada la secuela procesal, otorgar el Amparo y Protección de la Justicia Federal. </w:t>
      </w:r>
    </w:p>
    <w:p w:rsidR="00000000" w:rsidDel="00000000" w:rsidP="00000000" w:rsidRDefault="00000000" w:rsidRPr="00000000" w14:paraId="0000010D">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E">
      <w:pPr>
        <w:spacing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Protesto lo necesario</w:t>
      </w:r>
    </w:p>
    <w:p w:rsidR="00000000" w:rsidDel="00000000" w:rsidP="00000000" w:rsidRDefault="00000000" w:rsidRPr="00000000" w14:paraId="0000010F">
      <w:pPr>
        <w:spacing w:line="36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10">
      <w:pPr>
        <w:spacing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11">
      <w:pPr>
        <w:spacing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12">
      <w:pPr>
        <w:spacing w:line="36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spacing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Chihuahua, Chihuahua, a 2 de enero de 2026.</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Apto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Fuente: </w:t>
      </w:r>
      <w:hyperlink r:id="rId1">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Caso Pueblo Indígena Kichwa de Sarayaku Vs. Ecuador. Fondo y reparaciones. Sentencia de 27 de junio de 2012. Serie C No. 245</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consultada el 17 de diciembre de 2025 a las 13:54 horas. </w:t>
      </w:r>
    </w:p>
  </w:footnote>
  <w:footnote w:id="1">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Tesis de jurisprudencia 1a./J. 34/2025 (11a.) con número de registro digital 2030345, sustentada por la Primera Sala de la Suprema Corte de Justicia de la Nación, consultable en la Gaceta del Semanario Judicial de la Federación. Libro 49, mayo de 2025, Tomo I, Volumen 1, página 496, Undécima Época, bajo el rubro “EXPLOTACIÓN DEL AGUA. DERECHO A LA CONSULTA PREVIA DE LOS PUEBLOS Y LAS COMUNIDADES INDÍGENAS.” </w:t>
      </w:r>
    </w:p>
  </w:footnote>
  <w:footnote w:id="2">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2">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Acción de inconstitucionalidad 121/2019 | Comisión Nacional de los Derechos Humanos - México</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consultada el 17 de diciembre de 2025 a las 14:26 horas.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080" w:hanging="72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810" w:hanging="360"/>
      </w:pPr>
      <w:rPr>
        <w:rFonts w:ascii="Aptos" w:cs="Aptos" w:eastAsia="Aptos" w:hAnsi="Aptos"/>
      </w:rPr>
    </w:lvl>
    <w:lvl w:ilvl="1">
      <w:start w:val="1"/>
      <w:numFmt w:val="bullet"/>
      <w:lvlText w:val="o"/>
      <w:lvlJc w:val="left"/>
      <w:pPr>
        <w:ind w:left="1530" w:hanging="360"/>
      </w:pPr>
      <w:rPr>
        <w:rFonts w:ascii="Courier New" w:cs="Courier New" w:eastAsia="Courier New" w:hAnsi="Courier New"/>
      </w:rPr>
    </w:lvl>
    <w:lvl w:ilvl="2">
      <w:start w:val="1"/>
      <w:numFmt w:val="bullet"/>
      <w:lvlText w:val="▪"/>
      <w:lvlJc w:val="left"/>
      <w:pPr>
        <w:ind w:left="2250" w:hanging="360"/>
      </w:pPr>
      <w:rPr>
        <w:rFonts w:ascii="Noto Sans Symbols" w:cs="Noto Sans Symbols" w:eastAsia="Noto Sans Symbols" w:hAnsi="Noto Sans Symbols"/>
      </w:rPr>
    </w:lvl>
    <w:lvl w:ilvl="3">
      <w:start w:val="1"/>
      <w:numFmt w:val="bullet"/>
      <w:lvlText w:val="●"/>
      <w:lvlJc w:val="left"/>
      <w:pPr>
        <w:ind w:left="2970" w:hanging="360"/>
      </w:pPr>
      <w:rPr>
        <w:rFonts w:ascii="Noto Sans Symbols" w:cs="Noto Sans Symbols" w:eastAsia="Noto Sans Symbols" w:hAnsi="Noto Sans Symbols"/>
      </w:rPr>
    </w:lvl>
    <w:lvl w:ilvl="4">
      <w:start w:val="1"/>
      <w:numFmt w:val="bullet"/>
      <w:lvlText w:val="o"/>
      <w:lvlJc w:val="left"/>
      <w:pPr>
        <w:ind w:left="3690" w:hanging="360"/>
      </w:pPr>
      <w:rPr>
        <w:rFonts w:ascii="Courier New" w:cs="Courier New" w:eastAsia="Courier New" w:hAnsi="Courier New"/>
      </w:rPr>
    </w:lvl>
    <w:lvl w:ilvl="5">
      <w:start w:val="1"/>
      <w:numFmt w:val="bullet"/>
      <w:lvlText w:val="▪"/>
      <w:lvlJc w:val="left"/>
      <w:pPr>
        <w:ind w:left="4410" w:hanging="360"/>
      </w:pPr>
      <w:rPr>
        <w:rFonts w:ascii="Noto Sans Symbols" w:cs="Noto Sans Symbols" w:eastAsia="Noto Sans Symbols" w:hAnsi="Noto Sans Symbols"/>
      </w:rPr>
    </w:lvl>
    <w:lvl w:ilvl="6">
      <w:start w:val="1"/>
      <w:numFmt w:val="bullet"/>
      <w:lvlText w:val="●"/>
      <w:lvlJc w:val="left"/>
      <w:pPr>
        <w:ind w:left="5130" w:hanging="360"/>
      </w:pPr>
      <w:rPr>
        <w:rFonts w:ascii="Noto Sans Symbols" w:cs="Noto Sans Symbols" w:eastAsia="Noto Sans Symbols" w:hAnsi="Noto Sans Symbols"/>
      </w:rPr>
    </w:lvl>
    <w:lvl w:ilvl="7">
      <w:start w:val="1"/>
      <w:numFmt w:val="bullet"/>
      <w:lvlText w:val="o"/>
      <w:lvlJc w:val="left"/>
      <w:pPr>
        <w:ind w:left="5850" w:hanging="360"/>
      </w:pPr>
      <w:rPr>
        <w:rFonts w:ascii="Courier New" w:cs="Courier New" w:eastAsia="Courier New" w:hAnsi="Courier New"/>
      </w:rPr>
    </w:lvl>
    <w:lvl w:ilvl="8">
      <w:start w:val="1"/>
      <w:numFmt w:val="bullet"/>
      <w:lvlText w:val="▪"/>
      <w:lvlJc w:val="left"/>
      <w:pPr>
        <w:ind w:left="657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Roman"/>
      <w:lvlText w:val="%1."/>
      <w:lvlJc w:val="left"/>
      <w:pPr>
        <w:ind w:left="1080" w:hanging="72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0" w:before="40" w:line="276"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0" w:before="40" w:line="276" w:lineRule="auto"/>
    </w:pPr>
    <w:rPr>
      <w:rFonts w:ascii="Calibri" w:cs="Calibri" w:eastAsia="Calibri" w:hAnsi="Calibri"/>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456C08"/>
    <w:rPr>
      <w:rFonts w:ascii="Times New Roman" w:cs="Times New Roman" w:eastAsia="Times New Roman" w:hAnsi="Times New Roman"/>
      <w:b w:val="1"/>
      <w:bCs w:val="1"/>
      <w:kern w:val="36"/>
      <w:sz w:val="48"/>
      <w:szCs w:val="48"/>
      <w:lang w:eastAsia="es-MX"/>
    </w:rPr>
  </w:style>
  <w:style w:type="character" w:styleId="Hipervnculo">
    <w:name w:val="Hyperlink"/>
    <w:basedOn w:val="Fuentedeprrafopredeter"/>
    <w:uiPriority w:val="99"/>
    <w:unhideWhenUsed w:val="1"/>
    <w:rsid w:val="00107397"/>
    <w:rPr>
      <w:color w:val="0000ff"/>
      <w:u w:val="single"/>
    </w:rPr>
  </w:style>
  <w:style w:type="character" w:styleId="nombrelist" w:customStyle="1">
    <w:name w:val="nombrelist"/>
    <w:basedOn w:val="Fuentedeprrafopredeter"/>
    <w:rsid w:val="00BF3DB9"/>
  </w:style>
  <w:style w:type="character" w:styleId="TtuloCar" w:customStyle="1">
    <w:name w:val="Título Car"/>
    <w:basedOn w:val="Fuentedeprrafopredeter"/>
    <w:link w:val="Ttulo"/>
    <w:uiPriority w:val="10"/>
    <w:rsid w:val="00456C08"/>
    <w:rPr>
      <w:rFonts w:asciiTheme="majorHAnsi" w:cstheme="majorBidi" w:eastAsiaTheme="majorEastAsia" w:hAnsiTheme="majorHAnsi"/>
      <w:spacing w:val="-10"/>
      <w:kern w:val="28"/>
      <w:sz w:val="56"/>
      <w:szCs w:val="56"/>
    </w:rPr>
  </w:style>
  <w:style w:type="paragraph" w:styleId="Textonotapie">
    <w:name w:val="footnote text"/>
    <w:basedOn w:val="Normal"/>
    <w:link w:val="TextonotapieCar"/>
    <w:uiPriority w:val="99"/>
    <w:unhideWhenUsed w:val="1"/>
    <w:rsid w:val="00456C08"/>
    <w:pPr>
      <w:spacing w:after="0" w:line="240" w:lineRule="auto"/>
    </w:pPr>
    <w:rPr>
      <w:sz w:val="20"/>
      <w:szCs w:val="20"/>
    </w:rPr>
  </w:style>
  <w:style w:type="character" w:styleId="TextonotapieCar" w:customStyle="1">
    <w:name w:val="Texto nota pie Car"/>
    <w:basedOn w:val="Fuentedeprrafopredeter"/>
    <w:link w:val="Textonotapie"/>
    <w:uiPriority w:val="99"/>
    <w:rsid w:val="00456C08"/>
    <w:rPr>
      <w:sz w:val="20"/>
      <w:szCs w:val="20"/>
    </w:rPr>
  </w:style>
  <w:style w:type="character" w:styleId="Refdenotaalpie">
    <w:name w:val="footnote reference"/>
    <w:basedOn w:val="Fuentedeprrafopredeter"/>
    <w:uiPriority w:val="99"/>
    <w:semiHidden w:val="1"/>
    <w:unhideWhenUsed w:val="1"/>
    <w:rsid w:val="00456C08"/>
    <w:rPr>
      <w:vertAlign w:val="superscript"/>
    </w:rPr>
  </w:style>
  <w:style w:type="character" w:styleId="Ttulo2Car" w:customStyle="1">
    <w:name w:val="Título 2 Car"/>
    <w:basedOn w:val="Fuentedeprrafopredeter"/>
    <w:link w:val="Ttulo2"/>
    <w:uiPriority w:val="9"/>
    <w:semiHidden w:val="1"/>
    <w:rsid w:val="00456C08"/>
    <w:rPr>
      <w:rFonts w:asciiTheme="majorHAnsi" w:cstheme="majorBidi" w:eastAsiaTheme="majorEastAsia" w:hAnsiTheme="majorHAnsi"/>
      <w:color w:val="2f5496" w:themeColor="accent1" w:themeShade="0000BF"/>
      <w:sz w:val="26"/>
      <w:szCs w:val="26"/>
    </w:rPr>
  </w:style>
  <w:style w:type="character" w:styleId="Ttulo4Car" w:customStyle="1">
    <w:name w:val="Título 4 Car"/>
    <w:basedOn w:val="Fuentedeprrafopredeter"/>
    <w:link w:val="Ttulo4"/>
    <w:uiPriority w:val="9"/>
    <w:semiHidden w:val="1"/>
    <w:rsid w:val="00456C08"/>
    <w:rPr>
      <w:rFonts w:asciiTheme="majorHAnsi" w:cstheme="majorBidi" w:eastAsiaTheme="majorEastAsia" w:hAnsiTheme="majorHAnsi"/>
      <w:i w:val="1"/>
      <w:iCs w:val="1"/>
      <w:color w:val="2f5496" w:themeColor="accent1" w:themeShade="0000BF"/>
    </w:rPr>
  </w:style>
  <w:style w:type="paragraph" w:styleId="Prrafodelista">
    <w:name w:val="List Paragraph"/>
    <w:basedOn w:val="Normal"/>
    <w:uiPriority w:val="34"/>
    <w:qFormat w:val="1"/>
    <w:rsid w:val="00456C08"/>
    <w:pPr>
      <w:spacing w:after="200" w:line="276" w:lineRule="auto"/>
      <w:ind w:left="720"/>
      <w:contextualSpacing w:val="1"/>
    </w:pPr>
  </w:style>
  <w:style w:type="character" w:styleId="apple-converted-space" w:customStyle="1">
    <w:name w:val="apple-converted-space"/>
    <w:basedOn w:val="Fuentedeprrafopredeter"/>
    <w:rsid w:val="00456C08"/>
  </w:style>
  <w:style w:type="character" w:styleId="Textoennegrita">
    <w:name w:val="Strong"/>
    <w:basedOn w:val="Fuentedeprrafopredeter"/>
    <w:uiPriority w:val="22"/>
    <w:qFormat w:val="1"/>
    <w:rsid w:val="00456C08"/>
    <w:rPr>
      <w:b w:val="1"/>
      <w:bCs w:val="1"/>
    </w:rPr>
  </w:style>
  <w:style w:type="paragraph" w:styleId="Encabezado">
    <w:name w:val="header"/>
    <w:basedOn w:val="Normal"/>
    <w:link w:val="EncabezadoCar"/>
    <w:uiPriority w:val="99"/>
    <w:unhideWhenUsed w:val="1"/>
    <w:rsid w:val="00456C08"/>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6C08"/>
  </w:style>
  <w:style w:type="paragraph" w:styleId="Piedepgina">
    <w:name w:val="footer"/>
    <w:basedOn w:val="Normal"/>
    <w:link w:val="PiedepginaCar"/>
    <w:uiPriority w:val="99"/>
    <w:unhideWhenUsed w:val="1"/>
    <w:rsid w:val="00456C08"/>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6C08"/>
  </w:style>
  <w:style w:type="paragraph" w:styleId="NormalWeb">
    <w:name w:val="Normal (Web)"/>
    <w:basedOn w:val="Normal"/>
    <w:uiPriority w:val="99"/>
    <w:unhideWhenUsed w:val="1"/>
    <w:rsid w:val="00456C08"/>
    <w:pPr>
      <w:spacing w:after="100" w:afterAutospacing="1" w:before="100" w:beforeAutospacing="1" w:line="240" w:lineRule="auto"/>
    </w:pPr>
    <w:rPr>
      <w:rFonts w:ascii="Times New Roman" w:cs="Times New Roman" w:eastAsia="Times New Roman" w:hAnsi="Times New Roman"/>
      <w:sz w:val="24"/>
      <w:szCs w:val="24"/>
      <w:lang w:eastAsia="es-MX"/>
    </w:rPr>
  </w:style>
  <w:style w:type="paragraph" w:styleId="Estilo" w:customStyle="1">
    <w:name w:val="Estilo"/>
    <w:basedOn w:val="Sinespaciado"/>
    <w:link w:val="EstiloCar"/>
    <w:qFormat w:val="1"/>
    <w:rsid w:val="00456C08"/>
    <w:pPr>
      <w:jc w:val="both"/>
    </w:pPr>
    <w:rPr>
      <w:rFonts w:ascii="Arial" w:hAnsi="Arial" w:eastAsiaTheme="minorEastAsia"/>
      <w:sz w:val="24"/>
      <w:lang w:eastAsia="es-MX"/>
    </w:rPr>
  </w:style>
  <w:style w:type="paragraph" w:styleId="Sinespaciado">
    <w:name w:val="No Spacing"/>
    <w:uiPriority w:val="1"/>
    <w:qFormat w:val="1"/>
    <w:rsid w:val="00456C08"/>
    <w:pPr>
      <w:spacing w:after="0" w:line="240" w:lineRule="auto"/>
    </w:pPr>
  </w:style>
  <w:style w:type="character" w:styleId="EstiloCar" w:customStyle="1">
    <w:name w:val="Estilo Car"/>
    <w:basedOn w:val="Fuentedeprrafopredeter"/>
    <w:link w:val="Estilo"/>
    <w:rsid w:val="00456C08"/>
    <w:rPr>
      <w:rFonts w:ascii="Arial" w:hAnsi="Arial" w:eastAsiaTheme="minorEastAsia"/>
      <w:sz w:val="24"/>
      <w:lang w:eastAsia="es-MX"/>
    </w:rPr>
  </w:style>
  <w:style w:type="character" w:styleId="nfasis">
    <w:name w:val="Emphasis"/>
    <w:basedOn w:val="Fuentedeprrafopredeter"/>
    <w:uiPriority w:val="20"/>
    <w:qFormat w:val="1"/>
    <w:rsid w:val="00456C08"/>
    <w:rPr>
      <w:i w:val="1"/>
      <w:iCs w:val="1"/>
    </w:rPr>
  </w:style>
  <w:style w:type="paragraph" w:styleId="s-s" w:customStyle="1">
    <w:name w:val="s-s"/>
    <w:basedOn w:val="Normal"/>
    <w:rsid w:val="00456C08"/>
    <w:pPr>
      <w:spacing w:after="100" w:afterAutospacing="1" w:before="100" w:beforeAutospacing="1" w:line="240" w:lineRule="auto"/>
    </w:pPr>
    <w:rPr>
      <w:rFonts w:ascii="Times New Roman" w:cs="Times New Roman" w:eastAsia="Times New Roman" w:hAnsi="Times New Roman"/>
      <w:sz w:val="24"/>
      <w:szCs w:val="24"/>
      <w:lang w:eastAsia="es-MX"/>
    </w:rPr>
  </w:style>
  <w:style w:type="paragraph" w:styleId="sumario" w:customStyle="1">
    <w:name w:val="sumario"/>
    <w:basedOn w:val="Normal"/>
    <w:rsid w:val="00456C08"/>
    <w:pPr>
      <w:spacing w:after="100" w:afterAutospacing="1" w:before="100" w:beforeAutospacing="1" w:line="240" w:lineRule="auto"/>
    </w:pPr>
    <w:rPr>
      <w:rFonts w:ascii="Times New Roman" w:cs="Times New Roman" w:eastAsia="Times New Roman" w:hAnsi="Times New Roman"/>
      <w:sz w:val="24"/>
      <w:szCs w:val="24"/>
      <w:lang w:eastAsia="es-MX"/>
    </w:rPr>
  </w:style>
  <w:style w:type="paragraph" w:styleId="enlaces" w:customStyle="1">
    <w:name w:val="enlaces"/>
    <w:basedOn w:val="Normal"/>
    <w:rsid w:val="00456C08"/>
    <w:pPr>
      <w:spacing w:after="100" w:afterAutospacing="1" w:before="100" w:beforeAutospacing="1" w:line="240" w:lineRule="auto"/>
    </w:pPr>
    <w:rPr>
      <w:rFonts w:ascii="Times New Roman" w:cs="Times New Roman" w:eastAsia="Times New Roman" w:hAnsi="Times New Roman"/>
      <w:sz w:val="24"/>
      <w:szCs w:val="24"/>
      <w:lang w:eastAsia="es-MX"/>
    </w:rPr>
  </w:style>
  <w:style w:type="table" w:styleId="Tablaconcuadrcula">
    <w:name w:val="Table Grid"/>
    <w:basedOn w:val="Tablanormal"/>
    <w:uiPriority w:val="59"/>
    <w:rsid w:val="004534A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cinsinresolver1" w:customStyle="1">
    <w:name w:val="Mención sin resolver1"/>
    <w:basedOn w:val="Fuentedeprrafopredeter"/>
    <w:uiPriority w:val="99"/>
    <w:semiHidden w:val="1"/>
    <w:unhideWhenUsed w:val="1"/>
    <w:rsid w:val="004F0F4F"/>
    <w:rPr>
      <w:color w:val="605e5c"/>
      <w:shd w:color="auto" w:fill="e1dfdd" w:val="clear"/>
    </w:rPr>
  </w:style>
  <w:style w:type="character" w:styleId="Hipervnculovisitado">
    <w:name w:val="FollowedHyperlink"/>
    <w:basedOn w:val="Fuentedeprrafopredeter"/>
    <w:uiPriority w:val="99"/>
    <w:semiHidden w:val="1"/>
    <w:unhideWhenUsed w:val="1"/>
    <w:rsid w:val="004B1CDA"/>
    <w:rPr>
      <w:color w:val="954f72" w:themeColor="followedHyperlink"/>
      <w:u w:val="single"/>
    </w:rPr>
  </w:style>
  <w:style w:type="character" w:styleId="superscript" w:customStyle="1">
    <w:name w:val="superscript"/>
    <w:basedOn w:val="Fuentedeprrafopredeter"/>
    <w:rsid w:val="0037096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s://www.senado.gob.mx/66/gaceta_del_senado/documento/155647" TargetMode="External"/><Relationship Id="rId10" Type="http://schemas.openxmlformats.org/officeDocument/2006/relationships/hyperlink" Target="https://www.senado.gob.mx/66/gaceta_del_senado/documento/155647" TargetMode="External"/><Relationship Id="rId12" Type="http://schemas.openxmlformats.org/officeDocument/2006/relationships/hyperlink" Target="https://www.senado.gob.mx/66/gaceta_del_senado/documento/155647" TargetMode="External"/><Relationship Id="rId9" Type="http://schemas.openxmlformats.org/officeDocument/2006/relationships/hyperlink" Target="https://www.tdj.gob.mx"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serviciosenlinea.pjf.gob.mx/juicioenline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corteidh.or.cr/docs/casos/articulos/seriec_245_esp.pdf" TargetMode="External"/><Relationship Id="rId2" Type="http://schemas.openxmlformats.org/officeDocument/2006/relationships/hyperlink" Target="https://www.cndh.org.mx/documento/accion-de-inconstitucionalidad-1212019" TargetMode="Externa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q5GEk3pYs7JcmGfWZuLZcPv15Q==">CgMxLjAyDmgubXZtNXZ5Z3phazh1OAByITFjaWI4d1lHZnU3VTZzMTdfMGY0dDRsVVpRM3N2OVRnaw==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2020-12-14T22:59:00.0000000Z</dcterms:created>
  <dc:creator>Alberto Rocha Arrieta</dc:creator>
</cp:coreProperties>
</file>